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357" w:rsidRDefault="00750357" w:rsidP="00750357">
      <w:pPr>
        <w:pStyle w:val="a3"/>
        <w:overflowPunct w:val="0"/>
        <w:adjustRightInd w:val="0"/>
        <w:snapToGrid w:val="0"/>
        <w:spacing w:before="0" w:beforeAutospacing="0" w:after="0" w:afterAutospacing="0" w:line="560" w:lineRule="exact"/>
        <w:jc w:val="both"/>
        <w:rPr>
          <w:rFonts w:ascii="方正黑体_GBK" w:eastAsia="方正黑体_GBK" w:hAnsi="Times New Roman"/>
          <w:sz w:val="32"/>
          <w:szCs w:val="32"/>
        </w:rPr>
      </w:pPr>
      <w:r>
        <w:rPr>
          <w:rFonts w:ascii="方正黑体_GBK" w:eastAsia="方正黑体_GBK" w:hAnsi="Times New Roman" w:hint="eastAsia"/>
          <w:sz w:val="32"/>
          <w:szCs w:val="32"/>
        </w:rPr>
        <w:t>附件1</w:t>
      </w:r>
    </w:p>
    <w:p w:rsidR="00750357" w:rsidRDefault="00750357" w:rsidP="00750357">
      <w:pPr>
        <w:pStyle w:val="a3"/>
        <w:overflowPunct w:val="0"/>
        <w:adjustRightInd w:val="0"/>
        <w:snapToGrid w:val="0"/>
        <w:spacing w:before="0" w:beforeAutospacing="0" w:after="0" w:afterAutospacing="0" w:line="560" w:lineRule="exact"/>
        <w:jc w:val="both"/>
        <w:rPr>
          <w:rFonts w:ascii="方正小标宋_GBK" w:eastAsia="方正小标宋_GBK" w:hAnsi="Times New Roman" w:hint="eastAsia"/>
          <w:sz w:val="44"/>
          <w:szCs w:val="44"/>
        </w:rPr>
      </w:pPr>
      <w:r>
        <w:rPr>
          <w:rFonts w:ascii="Times New Roman" w:eastAsia="方正仿宋_GBK" w:hAnsi="Times New Roman"/>
          <w:sz w:val="32"/>
          <w:szCs w:val="32"/>
        </w:rPr>
        <w:t xml:space="preserve"> </w:t>
      </w:r>
    </w:p>
    <w:p w:rsidR="00750357" w:rsidRDefault="00750357" w:rsidP="00750357">
      <w:pPr>
        <w:pStyle w:val="a3"/>
        <w:overflowPunct w:val="0"/>
        <w:adjustRightInd w:val="0"/>
        <w:snapToGrid w:val="0"/>
        <w:spacing w:before="0" w:beforeAutospacing="0" w:after="0" w:afterAutospacing="0" w:line="560" w:lineRule="exact"/>
        <w:jc w:val="center"/>
        <w:rPr>
          <w:rFonts w:ascii="方正小标宋_GBK" w:eastAsia="方正小标宋_GBK" w:hAnsi="Times New Roman" w:hint="eastAsia"/>
          <w:sz w:val="44"/>
          <w:szCs w:val="44"/>
        </w:rPr>
      </w:pPr>
      <w:bookmarkStart w:id="0" w:name="_GoBack"/>
      <w:r>
        <w:rPr>
          <w:rFonts w:ascii="方正小标宋_GBK" w:eastAsia="方正小标宋_GBK" w:hAnsi="Times New Roman" w:hint="eastAsia"/>
          <w:sz w:val="44"/>
          <w:szCs w:val="44"/>
        </w:rPr>
        <w:t>广西壮族自治区老年人福利补贴申领</w:t>
      </w:r>
    </w:p>
    <w:p w:rsidR="00750357" w:rsidRDefault="00750357" w:rsidP="00750357">
      <w:pPr>
        <w:pStyle w:val="a3"/>
        <w:overflowPunct w:val="0"/>
        <w:adjustRightInd w:val="0"/>
        <w:snapToGrid w:val="0"/>
        <w:spacing w:before="0" w:beforeAutospacing="0" w:after="0" w:afterAutospacing="0" w:line="560" w:lineRule="exact"/>
        <w:jc w:val="center"/>
        <w:rPr>
          <w:rFonts w:ascii="方正小标宋_GBK" w:eastAsia="方正小标宋_GBK" w:hAnsi="Times New Roman" w:hint="eastAsia"/>
          <w:sz w:val="44"/>
          <w:szCs w:val="44"/>
        </w:rPr>
      </w:pPr>
      <w:r>
        <w:rPr>
          <w:rFonts w:ascii="方正小标宋_GBK" w:eastAsia="方正小标宋_GBK" w:hAnsi="Times New Roman" w:hint="eastAsia"/>
          <w:sz w:val="44"/>
          <w:szCs w:val="44"/>
        </w:rPr>
        <w:t>“一件事”办事指南</w:t>
      </w:r>
      <w:bookmarkEnd w:id="0"/>
    </w:p>
    <w:p w:rsidR="00750357" w:rsidRDefault="00750357" w:rsidP="00750357">
      <w:pPr>
        <w:pStyle w:val="a3"/>
        <w:overflowPunct w:val="0"/>
        <w:adjustRightInd w:val="0"/>
        <w:snapToGrid w:val="0"/>
        <w:spacing w:before="0" w:beforeAutospacing="0" w:after="0" w:afterAutospacing="0" w:line="560" w:lineRule="exact"/>
        <w:jc w:val="both"/>
        <w:rPr>
          <w:rFonts w:ascii="Times New Roman" w:eastAsia="方正仿宋_GBK" w:hAnsi="Times New Roman" w:hint="eastAsia"/>
          <w:sz w:val="32"/>
          <w:szCs w:val="32"/>
        </w:rPr>
      </w:pPr>
      <w:r>
        <w:rPr>
          <w:rFonts w:ascii="Times New Roman" w:eastAsia="方正仿宋_GBK" w:hAnsi="Times New Roman"/>
          <w:sz w:val="32"/>
          <w:szCs w:val="32"/>
        </w:rPr>
        <w:t xml:space="preserve"> </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方正黑体_GBK" w:eastAsia="方正黑体_GBK" w:hAnsi="Times New Roman"/>
          <w:sz w:val="32"/>
          <w:szCs w:val="32"/>
        </w:rPr>
      </w:pPr>
      <w:r>
        <w:rPr>
          <w:rFonts w:ascii="方正黑体_GBK" w:eastAsia="方正黑体_GBK" w:hAnsi="Times New Roman" w:hint="eastAsia"/>
          <w:sz w:val="32"/>
          <w:szCs w:val="32"/>
        </w:rPr>
        <w:t>一、基本信息</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hint="eastAsia"/>
          <w:sz w:val="32"/>
          <w:szCs w:val="32"/>
        </w:rPr>
      </w:pPr>
      <w:r>
        <w:rPr>
          <w:rFonts w:ascii="方正仿宋_GBK" w:eastAsia="方正仿宋_GBK" w:hAnsi="Times New Roman" w:hint="eastAsia"/>
          <w:sz w:val="32"/>
          <w:szCs w:val="32"/>
        </w:rPr>
        <w:t>（一）事项名称：广西壮族自治区老年人福利补贴申领“一件事”。</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Times New Roman" w:hint="eastAsia"/>
          <w:sz w:val="32"/>
          <w:szCs w:val="32"/>
        </w:rPr>
        <w:t>（二）服务对象：</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1.</w:t>
      </w:r>
      <w:r>
        <w:rPr>
          <w:rFonts w:ascii="方正仿宋_GBK" w:eastAsia="方正仿宋_GBK" w:hAnsi="Times New Roman" w:hint="eastAsia"/>
          <w:sz w:val="32"/>
          <w:szCs w:val="32"/>
        </w:rPr>
        <w:t>高龄津贴发放给户籍在广西壮族自治区行政区域内的</w:t>
      </w:r>
      <w:r>
        <w:rPr>
          <w:rFonts w:ascii="Times New Roman" w:eastAsia="方正仿宋_GBK" w:hAnsi="Times New Roman"/>
          <w:sz w:val="32"/>
          <w:szCs w:val="32"/>
        </w:rPr>
        <w:t>80</w:t>
      </w:r>
      <w:r>
        <w:rPr>
          <w:rFonts w:ascii="方正仿宋_GBK" w:eastAsia="方正仿宋_GBK" w:hAnsi="Times New Roman" w:hint="eastAsia"/>
          <w:sz w:val="32"/>
          <w:szCs w:val="32"/>
        </w:rPr>
        <w:t>周岁及以上老年人；</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方正仿宋_GBK" w:eastAsia="方正仿宋_GBK" w:hAnsi="Times New Roman"/>
          <w:sz w:val="32"/>
          <w:szCs w:val="32"/>
        </w:rPr>
      </w:pPr>
      <w:r>
        <w:rPr>
          <w:rFonts w:ascii="Times New Roman" w:eastAsia="方正仿宋_GBK" w:hAnsi="Times New Roman"/>
          <w:sz w:val="32"/>
          <w:szCs w:val="32"/>
        </w:rPr>
        <w:t>2.</w:t>
      </w:r>
      <w:r>
        <w:rPr>
          <w:rFonts w:ascii="方正仿宋_GBK" w:eastAsia="方正仿宋_GBK" w:hAnsi="Times New Roman" w:hint="eastAsia"/>
          <w:sz w:val="32"/>
          <w:szCs w:val="32"/>
        </w:rPr>
        <w:t>护理补贴发放给</w:t>
      </w:r>
      <w:r>
        <w:rPr>
          <w:rFonts w:ascii="Times New Roman" w:eastAsia="方正仿宋_GBK" w:hAnsi="Times New Roman"/>
          <w:sz w:val="32"/>
          <w:szCs w:val="32"/>
        </w:rPr>
        <w:t>70</w:t>
      </w:r>
      <w:r>
        <w:rPr>
          <w:rFonts w:ascii="方正仿宋_GBK" w:eastAsia="方正仿宋_GBK" w:hAnsi="Times New Roman" w:hint="eastAsia"/>
          <w:sz w:val="32"/>
          <w:szCs w:val="32"/>
        </w:rPr>
        <w:t>周岁及以上纳入广西壮族自治区最低生活保障范围的失能老年人（经评估为重度失能、完全失能的老年人）；</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方正仿宋_GBK" w:eastAsia="方正仿宋_GBK" w:hAnsi="Times New Roman" w:hint="eastAsia"/>
          <w:sz w:val="32"/>
          <w:szCs w:val="32"/>
        </w:rPr>
      </w:pPr>
      <w:r>
        <w:rPr>
          <w:rFonts w:ascii="Times New Roman" w:eastAsia="方正仿宋_GBK" w:hAnsi="Times New Roman"/>
          <w:sz w:val="32"/>
          <w:szCs w:val="32"/>
        </w:rPr>
        <w:t>3.</w:t>
      </w:r>
      <w:r>
        <w:rPr>
          <w:rFonts w:ascii="方正仿宋_GBK" w:eastAsia="方正仿宋_GBK" w:hAnsi="Times New Roman" w:hint="eastAsia"/>
          <w:sz w:val="32"/>
          <w:szCs w:val="32"/>
        </w:rPr>
        <w:t>养老服务补贴发放给户籍在自治区行政区域内的</w:t>
      </w:r>
      <w:r>
        <w:rPr>
          <w:rFonts w:ascii="Times New Roman" w:eastAsia="方正仿宋_GBK" w:hAnsi="Times New Roman"/>
          <w:sz w:val="32"/>
          <w:szCs w:val="32"/>
        </w:rPr>
        <w:t>70</w:t>
      </w:r>
      <w:r>
        <w:rPr>
          <w:rFonts w:ascii="方正仿宋_GBK" w:eastAsia="方正仿宋_GBK" w:hAnsi="Times New Roman" w:hint="eastAsia"/>
          <w:sz w:val="32"/>
          <w:szCs w:val="32"/>
        </w:rPr>
        <w:t>周岁及以上的低保对象和分散供养特困对象。</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hint="eastAsia"/>
          <w:sz w:val="32"/>
          <w:szCs w:val="32"/>
        </w:rPr>
      </w:pPr>
      <w:r>
        <w:rPr>
          <w:rFonts w:ascii="方正仿宋_GBK" w:eastAsia="方正仿宋_GBK" w:hAnsi="Times New Roman" w:hint="eastAsia"/>
          <w:sz w:val="32"/>
          <w:szCs w:val="32"/>
        </w:rPr>
        <w:t>（三）涉及事项：</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1.</w:t>
      </w:r>
      <w:r>
        <w:rPr>
          <w:rFonts w:ascii="方正仿宋_GBK" w:eastAsia="方正仿宋_GBK" w:hAnsi="Times New Roman" w:hint="eastAsia"/>
          <w:sz w:val="32"/>
          <w:szCs w:val="32"/>
        </w:rPr>
        <w:t>高龄津贴申领；</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2.</w:t>
      </w:r>
      <w:r>
        <w:rPr>
          <w:rFonts w:ascii="方正仿宋_GBK" w:eastAsia="方正仿宋_GBK" w:hAnsi="Times New Roman" w:hint="eastAsia"/>
          <w:sz w:val="32"/>
          <w:szCs w:val="32"/>
        </w:rPr>
        <w:t>护理补贴申领；</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3.</w:t>
      </w:r>
      <w:r>
        <w:rPr>
          <w:rFonts w:ascii="方正仿宋_GBK" w:eastAsia="方正仿宋_GBK" w:hAnsi="Times New Roman" w:hint="eastAsia"/>
          <w:sz w:val="32"/>
          <w:szCs w:val="32"/>
        </w:rPr>
        <w:t>养老服务补贴发放。</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Times New Roman" w:hint="eastAsia"/>
          <w:sz w:val="32"/>
          <w:szCs w:val="32"/>
        </w:rPr>
        <w:t>（四）办理形式：</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1.</w:t>
      </w:r>
      <w:r>
        <w:rPr>
          <w:rFonts w:ascii="方正仿宋_GBK" w:eastAsia="方正仿宋_GBK" w:hAnsi="Times New Roman" w:hint="eastAsia"/>
          <w:sz w:val="32"/>
          <w:szCs w:val="32"/>
        </w:rPr>
        <w:t>线上办理。线上依托广西数字政务一体化平台、智桂通移动端的“高效办成一件事”专区，统一老年人福利补贴申领“一件</w:t>
      </w:r>
      <w:r>
        <w:rPr>
          <w:rFonts w:ascii="方正仿宋_GBK" w:eastAsia="方正仿宋_GBK" w:hAnsi="Times New Roman" w:hint="eastAsia"/>
          <w:sz w:val="32"/>
          <w:szCs w:val="32"/>
        </w:rPr>
        <w:lastRenderedPageBreak/>
        <w:t>事”申报入口，采用“智能导引、一表申报、证照免交、信息预填”等智能化方式集成服务，实现“网上办”和“掌上办”。</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2.</w:t>
      </w:r>
      <w:r>
        <w:rPr>
          <w:rFonts w:ascii="方正仿宋_GBK" w:eastAsia="方正仿宋_GBK" w:hAnsi="Times New Roman" w:hint="eastAsia"/>
          <w:sz w:val="32"/>
          <w:szCs w:val="32"/>
        </w:rPr>
        <w:t>线下办理。线下依托县级政务服务中心综合服务窗口或乡镇人民政府（街道办事处）便民服务中心，受理老年人福利补贴申领“一件事”。</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Times New Roman" w:hint="eastAsia"/>
          <w:sz w:val="32"/>
          <w:szCs w:val="32"/>
        </w:rPr>
        <w:t>（五）办结时限：</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Times New Roman" w:hint="eastAsia"/>
          <w:sz w:val="32"/>
          <w:szCs w:val="32"/>
        </w:rPr>
        <w:t>高龄津贴申领：</w:t>
      </w:r>
      <w:r>
        <w:rPr>
          <w:rFonts w:ascii="Times New Roman" w:eastAsia="方正仿宋_GBK" w:hAnsi="Times New Roman"/>
          <w:sz w:val="32"/>
          <w:szCs w:val="32"/>
        </w:rPr>
        <w:t>15</w:t>
      </w:r>
      <w:r>
        <w:rPr>
          <w:rFonts w:ascii="方正仿宋_GBK" w:eastAsia="方正仿宋_GBK" w:hAnsi="Times New Roman" w:hint="eastAsia"/>
          <w:sz w:val="32"/>
          <w:szCs w:val="32"/>
        </w:rPr>
        <w:t>个工作日内。</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Times New Roman" w:hint="eastAsia"/>
          <w:sz w:val="32"/>
          <w:szCs w:val="32"/>
        </w:rPr>
        <w:t>护理补贴申领：</w:t>
      </w:r>
      <w:r>
        <w:rPr>
          <w:rFonts w:ascii="Times New Roman" w:eastAsia="方正仿宋_GBK" w:hAnsi="Times New Roman"/>
          <w:sz w:val="32"/>
          <w:szCs w:val="32"/>
        </w:rPr>
        <w:t>15</w:t>
      </w:r>
      <w:r>
        <w:rPr>
          <w:rFonts w:ascii="方正仿宋_GBK" w:eastAsia="方正仿宋_GBK" w:hAnsi="Times New Roman" w:hint="eastAsia"/>
          <w:sz w:val="32"/>
          <w:szCs w:val="32"/>
        </w:rPr>
        <w:t>个工作日内。</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Times New Roman" w:hint="eastAsia"/>
          <w:sz w:val="32"/>
          <w:szCs w:val="32"/>
        </w:rPr>
        <w:t>养老服务补贴发放：免申即享。</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cs="宋体"/>
          <w:sz w:val="32"/>
          <w:szCs w:val="32"/>
        </w:rPr>
      </w:pPr>
      <w:r>
        <w:rPr>
          <w:rFonts w:ascii="方正仿宋_GBK" w:eastAsia="方正仿宋_GBK" w:hAnsi="Times New Roman" w:hint="eastAsia"/>
          <w:sz w:val="32"/>
          <w:szCs w:val="32"/>
        </w:rPr>
        <w:t>（六）审批服务层级：县（市、区）、乡镇（街道）。</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Times New Roman" w:hint="eastAsia"/>
          <w:sz w:val="32"/>
          <w:szCs w:val="32"/>
        </w:rPr>
        <w:t>（七）是否收费：否。</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Times New Roman" w:hint="eastAsia"/>
          <w:sz w:val="32"/>
          <w:szCs w:val="32"/>
        </w:rPr>
        <w:t>（八）中介服务事项名称：无。</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Times New Roman" w:hint="eastAsia"/>
          <w:sz w:val="32"/>
          <w:szCs w:val="32"/>
        </w:rPr>
        <w:t>（九）是否需要勘验、组织听证、专家评审、检测：是，申领护理补贴需要事先开展老年人能力评估。</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Times New Roman" w:hint="eastAsia"/>
          <w:sz w:val="32"/>
          <w:szCs w:val="32"/>
        </w:rPr>
        <w:t>（十）审批机关是否委托服务机构开展技术性服务：是，申领护理补贴需要委托相关专业机构或组织开展老年人能力评估。</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Times New Roman" w:hint="eastAsia"/>
          <w:sz w:val="32"/>
          <w:szCs w:val="32"/>
        </w:rPr>
        <w:t>（十一）是否实行告知承诺办理：是。</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Times New Roman" w:hint="eastAsia"/>
          <w:sz w:val="32"/>
          <w:szCs w:val="32"/>
        </w:rPr>
        <w:t>（十二）办理时间：对应实施层级的办理时间。</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Times New Roman" w:hint="eastAsia"/>
          <w:sz w:val="32"/>
          <w:szCs w:val="32"/>
        </w:rPr>
        <w:t>（十三）办理地点：</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Times New Roman" w:hint="eastAsia"/>
          <w:sz w:val="32"/>
          <w:szCs w:val="32"/>
        </w:rPr>
        <w:t>线上平台办理：广西数字政务一体化平台、智桂通移动端；</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Times New Roman" w:hint="eastAsia"/>
          <w:sz w:val="32"/>
          <w:szCs w:val="32"/>
        </w:rPr>
        <w:t>线下窗口办理：对应实施层级的办理地点。</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方正黑体_GBK" w:eastAsia="方正黑体_GBK" w:hAnsi="Times New Roman"/>
          <w:sz w:val="32"/>
          <w:szCs w:val="32"/>
        </w:rPr>
      </w:pPr>
      <w:r>
        <w:rPr>
          <w:rFonts w:ascii="方正黑体_GBK" w:eastAsia="方正黑体_GBK" w:hAnsi="Times New Roman" w:hint="eastAsia"/>
          <w:sz w:val="32"/>
          <w:szCs w:val="32"/>
        </w:rPr>
        <w:t>二、设定和实施依据</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hint="eastAsia"/>
          <w:sz w:val="32"/>
          <w:szCs w:val="32"/>
        </w:rPr>
      </w:pPr>
      <w:r>
        <w:rPr>
          <w:rFonts w:ascii="方正仿宋_GBK" w:eastAsia="方正仿宋_GBK" w:hAnsi="Times New Roman" w:hint="eastAsia"/>
          <w:sz w:val="32"/>
          <w:szCs w:val="32"/>
        </w:rPr>
        <w:t>（一）《广西壮族自治区人民政府办公厅关于印发广西壮族</w:t>
      </w:r>
      <w:r>
        <w:rPr>
          <w:rFonts w:ascii="方正仿宋_GBK" w:eastAsia="方正仿宋_GBK" w:hAnsi="Times New Roman" w:hint="eastAsia"/>
          <w:sz w:val="32"/>
          <w:szCs w:val="32"/>
        </w:rPr>
        <w:lastRenderedPageBreak/>
        <w:t>自治区创新农村养老服务体系建设工作方案的通知》（桂政办发〔</w:t>
      </w:r>
      <w:r>
        <w:rPr>
          <w:rFonts w:ascii="Times New Roman" w:eastAsia="方正仿宋_GBK" w:hAnsi="Times New Roman"/>
          <w:sz w:val="32"/>
          <w:szCs w:val="32"/>
        </w:rPr>
        <w:t>2012</w:t>
      </w:r>
      <w:r>
        <w:rPr>
          <w:rFonts w:ascii="方正仿宋_GBK" w:eastAsia="方正仿宋_GBK" w:hAnsi="Times New Roman" w:hint="eastAsia"/>
          <w:sz w:val="32"/>
          <w:szCs w:val="32"/>
        </w:rPr>
        <w:t>〕</w:t>
      </w:r>
      <w:r>
        <w:rPr>
          <w:rFonts w:ascii="Times New Roman" w:eastAsia="方正仿宋_GBK" w:hAnsi="Times New Roman"/>
          <w:sz w:val="32"/>
          <w:szCs w:val="32"/>
        </w:rPr>
        <w:t>55</w:t>
      </w:r>
      <w:r>
        <w:rPr>
          <w:rFonts w:ascii="方正仿宋_GBK" w:eastAsia="方正仿宋_GBK" w:hAnsi="Times New Roman" w:hint="eastAsia"/>
          <w:sz w:val="32"/>
          <w:szCs w:val="32"/>
        </w:rPr>
        <w:t>号）；</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Times New Roman" w:hint="eastAsia"/>
          <w:sz w:val="32"/>
          <w:szCs w:val="32"/>
        </w:rPr>
        <w:t>（二）各市、县（市、区）高龄津贴相关管理政策；</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Times New Roman" w:hint="eastAsia"/>
          <w:sz w:val="32"/>
          <w:szCs w:val="32"/>
        </w:rPr>
        <w:t>（三）《广西壮族自治区民政厅广西壮族自治区财政厅关于印发广西壮族自治区经济困难老年人养老服务补贴实施办法（试行）的通知》（桂民规〔</w:t>
      </w:r>
      <w:r>
        <w:rPr>
          <w:rFonts w:ascii="Times New Roman" w:eastAsia="方正仿宋_GBK" w:hAnsi="Times New Roman"/>
          <w:sz w:val="32"/>
          <w:szCs w:val="32"/>
        </w:rPr>
        <w:t>2024</w:t>
      </w:r>
      <w:r>
        <w:rPr>
          <w:rFonts w:ascii="方正仿宋_GBK" w:eastAsia="方正仿宋_GBK" w:hAnsi="Times New Roman" w:hint="eastAsia"/>
          <w:sz w:val="32"/>
          <w:szCs w:val="32"/>
        </w:rPr>
        <w:t>〕</w:t>
      </w:r>
      <w:r>
        <w:rPr>
          <w:rFonts w:ascii="Times New Roman" w:eastAsia="方正仿宋_GBK" w:hAnsi="Times New Roman"/>
          <w:sz w:val="32"/>
          <w:szCs w:val="32"/>
        </w:rPr>
        <w:t>5</w:t>
      </w:r>
      <w:r>
        <w:rPr>
          <w:rFonts w:ascii="方正仿宋_GBK" w:eastAsia="方正仿宋_GBK" w:hAnsi="Times New Roman" w:hint="eastAsia"/>
          <w:sz w:val="32"/>
          <w:szCs w:val="32"/>
        </w:rPr>
        <w:t>号）；</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Times New Roman" w:hint="eastAsia"/>
          <w:sz w:val="32"/>
          <w:szCs w:val="32"/>
        </w:rPr>
        <w:t>（四）《广西壮族自治区民政厅广西壮族自治区财政厅广西壮族自治区人力资源和社会保障厅关于印发〈广西壮族自治区老年人能力评估实施办法（试行）〉的通知》（桂民发〔</w:t>
      </w:r>
      <w:r>
        <w:rPr>
          <w:rFonts w:ascii="Times New Roman" w:eastAsia="方正仿宋_GBK" w:hAnsi="Times New Roman"/>
          <w:sz w:val="32"/>
          <w:szCs w:val="32"/>
        </w:rPr>
        <w:t>2025</w:t>
      </w:r>
      <w:r>
        <w:rPr>
          <w:rFonts w:ascii="方正仿宋_GBK" w:eastAsia="方正仿宋_GBK" w:hAnsi="Times New Roman" w:hint="eastAsia"/>
          <w:sz w:val="32"/>
          <w:szCs w:val="32"/>
        </w:rPr>
        <w:t>〕</w:t>
      </w:r>
      <w:r>
        <w:rPr>
          <w:rFonts w:ascii="Times New Roman" w:eastAsia="方正仿宋_GBK" w:hAnsi="Times New Roman"/>
          <w:sz w:val="32"/>
          <w:szCs w:val="32"/>
        </w:rPr>
        <w:t>34</w:t>
      </w:r>
      <w:r>
        <w:rPr>
          <w:rFonts w:ascii="方正仿宋_GBK" w:eastAsia="方正仿宋_GBK" w:hAnsi="Times New Roman" w:hint="eastAsia"/>
          <w:sz w:val="32"/>
          <w:szCs w:val="32"/>
        </w:rPr>
        <w:t>号）；</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Times New Roman" w:hint="eastAsia"/>
          <w:sz w:val="32"/>
          <w:szCs w:val="32"/>
        </w:rPr>
        <w:t>（五）全区经济困难老年人护理补贴发放相关工作政策。</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方正黑体_GBK" w:eastAsia="方正黑体_GBK" w:hAnsi="Times New Roman"/>
          <w:sz w:val="32"/>
          <w:szCs w:val="32"/>
        </w:rPr>
      </w:pPr>
      <w:r>
        <w:rPr>
          <w:rFonts w:ascii="方正黑体_GBK" w:eastAsia="方正黑体_GBK" w:hAnsi="Times New Roman" w:hint="eastAsia"/>
          <w:sz w:val="32"/>
          <w:szCs w:val="32"/>
        </w:rPr>
        <w:t>三、申请须知</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方正楷体_GBK" w:eastAsia="方正楷体_GBK" w:hAnsi="Times New Roman" w:hint="eastAsia"/>
          <w:sz w:val="32"/>
          <w:szCs w:val="32"/>
        </w:rPr>
      </w:pPr>
      <w:r>
        <w:rPr>
          <w:rFonts w:ascii="方正楷体_GBK" w:eastAsia="方正楷体_GBK" w:hAnsi="Times New Roman" w:hint="eastAsia"/>
          <w:sz w:val="32"/>
          <w:szCs w:val="32"/>
        </w:rPr>
        <w:t>（一）申请人范围及申请条件</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hint="eastAsia"/>
          <w:sz w:val="32"/>
          <w:szCs w:val="32"/>
        </w:rPr>
      </w:pPr>
      <w:r>
        <w:rPr>
          <w:rFonts w:ascii="方正仿宋_GBK" w:eastAsia="方正仿宋_GBK" w:hAnsi="Times New Roman" w:hint="eastAsia"/>
          <w:sz w:val="32"/>
          <w:szCs w:val="32"/>
        </w:rPr>
        <w:t>高龄津贴申请人范围为户籍在广西壮族自治区行政区域内的</w:t>
      </w:r>
      <w:r>
        <w:rPr>
          <w:rFonts w:ascii="Times New Roman" w:eastAsia="方正仿宋_GBK" w:hAnsi="Times New Roman"/>
          <w:sz w:val="32"/>
          <w:szCs w:val="32"/>
        </w:rPr>
        <w:t>80</w:t>
      </w:r>
      <w:r>
        <w:rPr>
          <w:rFonts w:ascii="方正仿宋_GBK" w:eastAsia="方正仿宋_GBK" w:hAnsi="Times New Roman" w:hint="eastAsia"/>
          <w:sz w:val="32"/>
          <w:szCs w:val="32"/>
        </w:rPr>
        <w:t>周岁及以上老年人，具体根据各市、县（市、区）制定的高龄津贴相关管理政策确定；护理补贴申请人范围为</w:t>
      </w:r>
      <w:r>
        <w:rPr>
          <w:rFonts w:ascii="Times New Roman" w:eastAsia="方正仿宋_GBK" w:hAnsi="Times New Roman"/>
          <w:sz w:val="32"/>
          <w:szCs w:val="32"/>
        </w:rPr>
        <w:t>70</w:t>
      </w:r>
      <w:r>
        <w:rPr>
          <w:rFonts w:ascii="方正仿宋_GBK" w:eastAsia="方正仿宋_GBK" w:hAnsi="Times New Roman" w:hint="eastAsia"/>
          <w:sz w:val="32"/>
          <w:szCs w:val="32"/>
        </w:rPr>
        <w:t>周岁及以上纳入广西壮族自治区最低生活保障范围的失能老年人（经评估为重度失能、完全失能的老年人）。养老服务补贴发放给户籍在自治区行政区域内的</w:t>
      </w:r>
      <w:r>
        <w:rPr>
          <w:rFonts w:ascii="Times New Roman" w:eastAsia="方正仿宋_GBK" w:hAnsi="Times New Roman"/>
          <w:sz w:val="32"/>
          <w:szCs w:val="32"/>
        </w:rPr>
        <w:t>70</w:t>
      </w:r>
      <w:r>
        <w:rPr>
          <w:rFonts w:ascii="方正仿宋_GBK" w:eastAsia="方正仿宋_GBK" w:hAnsi="Times New Roman" w:hint="eastAsia"/>
          <w:sz w:val="32"/>
          <w:szCs w:val="32"/>
        </w:rPr>
        <w:t>周岁及以上的低保对象和分散供养特困对象，免申即享。</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方正楷体_GBK" w:eastAsia="方正楷体_GBK" w:hAnsi="Times New Roman" w:cs="宋体"/>
          <w:sz w:val="32"/>
          <w:szCs w:val="32"/>
        </w:rPr>
      </w:pPr>
      <w:r>
        <w:rPr>
          <w:rFonts w:ascii="方正楷体_GBK" w:eastAsia="方正楷体_GBK" w:hAnsi="Times New Roman" w:hint="eastAsia"/>
          <w:sz w:val="32"/>
          <w:szCs w:val="32"/>
        </w:rPr>
        <w:t>（二）不予受理的法定情形</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hint="eastAsia"/>
          <w:sz w:val="32"/>
          <w:szCs w:val="32"/>
        </w:rPr>
      </w:pPr>
      <w:r>
        <w:rPr>
          <w:rFonts w:ascii="Times New Roman" w:eastAsia="方正仿宋_GBK" w:hAnsi="Times New Roman"/>
          <w:sz w:val="32"/>
          <w:szCs w:val="32"/>
        </w:rPr>
        <w:t>1.</w:t>
      </w:r>
      <w:r>
        <w:rPr>
          <w:rFonts w:ascii="方正仿宋_GBK" w:eastAsia="方正仿宋_GBK" w:hAnsi="Times New Roman" w:hint="eastAsia"/>
          <w:sz w:val="32"/>
          <w:szCs w:val="32"/>
        </w:rPr>
        <w:t>未按照要求提供有效证明材料的；</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2.</w:t>
      </w:r>
      <w:r>
        <w:rPr>
          <w:rFonts w:ascii="方正仿宋_GBK" w:eastAsia="方正仿宋_GBK" w:hAnsi="Times New Roman" w:hint="eastAsia"/>
          <w:sz w:val="32"/>
          <w:szCs w:val="32"/>
        </w:rPr>
        <w:t>不符合相应津贴、补贴条件的。</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方正黑体_GBK" w:eastAsia="方正黑体_GBK" w:hAnsi="Times New Roman"/>
          <w:sz w:val="32"/>
          <w:szCs w:val="32"/>
        </w:rPr>
      </w:pPr>
      <w:r>
        <w:rPr>
          <w:rFonts w:ascii="方正黑体_GBK" w:eastAsia="方正黑体_GBK" w:hAnsi="Times New Roman" w:hint="eastAsia"/>
          <w:sz w:val="32"/>
          <w:szCs w:val="32"/>
        </w:rPr>
        <w:lastRenderedPageBreak/>
        <w:t>四、办理条件</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方正楷体_GBK" w:eastAsia="方正楷体_GBK" w:hAnsi="Times New Roman" w:hint="eastAsia"/>
          <w:sz w:val="32"/>
          <w:szCs w:val="32"/>
        </w:rPr>
      </w:pPr>
      <w:r>
        <w:rPr>
          <w:rFonts w:ascii="方正楷体_GBK" w:eastAsia="方正楷体_GBK" w:hAnsi="Times New Roman" w:hint="eastAsia"/>
          <w:sz w:val="32"/>
          <w:szCs w:val="32"/>
        </w:rPr>
        <w:t>（一）高龄津贴</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hint="eastAsia"/>
          <w:sz w:val="32"/>
          <w:szCs w:val="32"/>
        </w:rPr>
      </w:pPr>
      <w:r>
        <w:rPr>
          <w:rFonts w:ascii="方正仿宋_GBK" w:eastAsia="方正仿宋_GBK" w:hAnsi="Times New Roman" w:hint="eastAsia"/>
          <w:sz w:val="32"/>
          <w:szCs w:val="32"/>
        </w:rPr>
        <w:t>具有当地行政区域户籍</w:t>
      </w:r>
      <w:r>
        <w:rPr>
          <w:rFonts w:ascii="Times New Roman" w:eastAsia="方正仿宋_GBK" w:hAnsi="Times New Roman"/>
          <w:sz w:val="32"/>
          <w:szCs w:val="32"/>
        </w:rPr>
        <w:t>80</w:t>
      </w:r>
      <w:r>
        <w:rPr>
          <w:rFonts w:ascii="方正仿宋_GBK" w:eastAsia="方正仿宋_GBK" w:hAnsi="Times New Roman" w:hint="eastAsia"/>
          <w:sz w:val="32"/>
          <w:szCs w:val="32"/>
        </w:rPr>
        <w:t>周岁以上（含</w:t>
      </w:r>
      <w:r>
        <w:rPr>
          <w:rFonts w:ascii="Times New Roman" w:eastAsia="方正仿宋_GBK" w:hAnsi="Times New Roman"/>
          <w:sz w:val="32"/>
          <w:szCs w:val="32"/>
        </w:rPr>
        <w:t>80</w:t>
      </w:r>
      <w:r>
        <w:rPr>
          <w:rFonts w:ascii="方正仿宋_GBK" w:eastAsia="方正仿宋_GBK" w:hAnsi="Times New Roman" w:hint="eastAsia"/>
          <w:sz w:val="32"/>
          <w:szCs w:val="32"/>
        </w:rPr>
        <w:t>周岁）的老年人按申请流程办理。</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方正楷体_GBK" w:eastAsia="方正楷体_GBK" w:hAnsi="Times New Roman"/>
          <w:sz w:val="32"/>
          <w:szCs w:val="32"/>
        </w:rPr>
      </w:pPr>
      <w:r>
        <w:rPr>
          <w:rFonts w:ascii="方正楷体_GBK" w:eastAsia="方正楷体_GBK" w:hAnsi="Times New Roman" w:hint="eastAsia"/>
          <w:sz w:val="32"/>
          <w:szCs w:val="32"/>
        </w:rPr>
        <w:t>（二）护理补贴</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hint="eastAsia"/>
          <w:sz w:val="32"/>
          <w:szCs w:val="32"/>
        </w:rPr>
      </w:pPr>
      <w:r>
        <w:rPr>
          <w:rFonts w:ascii="Times New Roman" w:eastAsia="方正仿宋_GBK" w:hAnsi="Times New Roman"/>
          <w:sz w:val="32"/>
          <w:szCs w:val="32"/>
        </w:rPr>
        <w:t>70</w:t>
      </w:r>
      <w:r>
        <w:rPr>
          <w:rFonts w:ascii="方正仿宋_GBK" w:eastAsia="方正仿宋_GBK" w:hAnsi="Times New Roman" w:hint="eastAsia"/>
          <w:sz w:val="32"/>
          <w:szCs w:val="32"/>
        </w:rPr>
        <w:t>周岁及以上纳入广西壮族自治区最低生活保障范围的失能老年人（经评估为重度失能、完全失能的老年人）按申请流程办理。</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方正楷体_GBK" w:eastAsia="方正楷体_GBK" w:hAnsi="Times New Roman"/>
          <w:sz w:val="32"/>
          <w:szCs w:val="32"/>
        </w:rPr>
      </w:pPr>
      <w:r>
        <w:rPr>
          <w:rFonts w:ascii="方正楷体_GBK" w:eastAsia="方正楷体_GBK" w:hAnsi="Times New Roman" w:hint="eastAsia"/>
          <w:sz w:val="32"/>
          <w:szCs w:val="32"/>
        </w:rPr>
        <w:t>（三）养老服务补贴发放</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hint="eastAsia"/>
          <w:sz w:val="32"/>
          <w:szCs w:val="32"/>
        </w:rPr>
      </w:pPr>
      <w:r>
        <w:rPr>
          <w:rFonts w:ascii="方正仿宋_GBK" w:eastAsia="方正仿宋_GBK" w:hAnsi="Times New Roman" w:hint="eastAsia"/>
          <w:sz w:val="32"/>
          <w:szCs w:val="32"/>
        </w:rPr>
        <w:t>户籍在自治区行政区域内的</w:t>
      </w:r>
      <w:r>
        <w:rPr>
          <w:rFonts w:ascii="Times New Roman" w:eastAsia="方正仿宋_GBK" w:hAnsi="Times New Roman"/>
          <w:sz w:val="32"/>
          <w:szCs w:val="32"/>
        </w:rPr>
        <w:t>70</w:t>
      </w:r>
      <w:r>
        <w:rPr>
          <w:rFonts w:ascii="方正仿宋_GBK" w:eastAsia="方正仿宋_GBK" w:hAnsi="Times New Roman" w:hint="eastAsia"/>
          <w:sz w:val="32"/>
          <w:szCs w:val="32"/>
        </w:rPr>
        <w:t>周岁及以上的低保对象和分散供养特困对象，免申即享。</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方正黑体_GBK" w:eastAsia="方正黑体_GBK" w:hAnsi="Times New Roman"/>
          <w:sz w:val="32"/>
          <w:szCs w:val="32"/>
        </w:rPr>
      </w:pPr>
      <w:r>
        <w:rPr>
          <w:rFonts w:ascii="方正黑体_GBK" w:eastAsia="方正黑体_GBK" w:hAnsi="Times New Roman" w:hint="eastAsia"/>
          <w:sz w:val="32"/>
          <w:szCs w:val="32"/>
        </w:rPr>
        <w:t>五、申请材料</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hint="eastAsia"/>
          <w:sz w:val="32"/>
          <w:szCs w:val="32"/>
        </w:rPr>
      </w:pPr>
      <w:r>
        <w:rPr>
          <w:rFonts w:ascii="方正仿宋_GBK" w:eastAsia="方正仿宋_GBK" w:hAnsi="Times New Roman" w:hint="eastAsia"/>
          <w:sz w:val="32"/>
          <w:szCs w:val="32"/>
        </w:rPr>
        <w:t>（一）广西壮族自治区老年人福利补贴申领“一件事”申请表。</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Times New Roman" w:hint="eastAsia"/>
          <w:sz w:val="32"/>
          <w:szCs w:val="32"/>
        </w:rPr>
        <w:t>（二）申请人身份证明（中华人民共和国居民身份证、户口簿或户籍证明等）或代理人（代办人）身份证明（中华人民共和国居民身份证）、委托书。</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方正仿宋_GBK" w:eastAsia="方正仿宋_GBK" w:hAnsi="Times New Roman"/>
          <w:sz w:val="32"/>
          <w:szCs w:val="32"/>
        </w:rPr>
      </w:pPr>
      <w:r>
        <w:rPr>
          <w:rFonts w:ascii="方正仿宋_GBK" w:eastAsia="方正仿宋_GBK" w:hAnsi="Times New Roman" w:hint="eastAsia"/>
          <w:sz w:val="32"/>
          <w:szCs w:val="32"/>
        </w:rPr>
        <w:t>（三）护理补贴申领需提供：老年人能力评估结论告知书。</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方正仿宋_GBK" w:eastAsia="方正仿宋_GBK" w:hAnsi="Times New Roman" w:hint="eastAsia"/>
          <w:sz w:val="32"/>
          <w:szCs w:val="32"/>
        </w:rPr>
      </w:pPr>
      <w:r>
        <w:rPr>
          <w:rFonts w:ascii="方正仿宋_GBK" w:eastAsia="方正仿宋_GBK" w:hAnsi="Times New Roman" w:hint="eastAsia"/>
          <w:sz w:val="32"/>
          <w:szCs w:val="32"/>
        </w:rPr>
        <w:t>（四）属养老机构代为申请的，需提交养老机构代为申请的书面证明。</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方正黑体_GBK" w:eastAsia="方正黑体_GBK" w:hAnsi="Times New Roman" w:hint="eastAsia"/>
          <w:sz w:val="32"/>
          <w:szCs w:val="32"/>
        </w:rPr>
      </w:pPr>
      <w:r>
        <w:rPr>
          <w:rFonts w:ascii="方正黑体_GBK" w:eastAsia="方正黑体_GBK" w:hAnsi="Times New Roman" w:hint="eastAsia"/>
          <w:sz w:val="32"/>
          <w:szCs w:val="32"/>
        </w:rPr>
        <w:t>六、其他</w:t>
      </w:r>
    </w:p>
    <w:p w:rsidR="00750357" w:rsidRDefault="00750357" w:rsidP="00750357">
      <w:pPr>
        <w:pStyle w:val="a3"/>
        <w:overflowPunct w:val="0"/>
        <w:adjustRightInd w:val="0"/>
        <w:snapToGrid w:val="0"/>
        <w:spacing w:before="0" w:beforeAutospacing="0" w:after="0" w:afterAutospacing="0" w:line="560" w:lineRule="exact"/>
        <w:ind w:firstLineChars="200" w:firstLine="640"/>
        <w:jc w:val="both"/>
        <w:rPr>
          <w:rFonts w:ascii="方正仿宋_GBK" w:eastAsia="方正仿宋_GBK" w:hAnsi="Times New Roman" w:hint="eastAsia"/>
          <w:sz w:val="32"/>
          <w:szCs w:val="32"/>
        </w:rPr>
      </w:pPr>
      <w:r>
        <w:rPr>
          <w:rFonts w:ascii="方正仿宋_GBK" w:eastAsia="方正仿宋_GBK" w:hAnsi="Times New Roman" w:hint="eastAsia"/>
          <w:sz w:val="32"/>
          <w:szCs w:val="32"/>
        </w:rPr>
        <w:t>无。</w:t>
      </w:r>
    </w:p>
    <w:p w:rsidR="002539C7" w:rsidRDefault="002539C7"/>
    <w:sectPr w:rsidR="002539C7" w:rsidSect="00750357">
      <w:pgSz w:w="11906" w:h="16838"/>
      <w:pgMar w:top="1928" w:right="1418" w:bottom="181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B3A"/>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1B3A"/>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0357"/>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0357"/>
    <w:pPr>
      <w:spacing w:before="100" w:beforeAutospacing="1" w:after="100" w:afterAutospacing="1"/>
      <w:jc w:val="left"/>
    </w:pPr>
    <w:rPr>
      <w:rFonts w:ascii="Calibri" w:eastAsia="宋体" w:hAnsi="Calibri"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0357"/>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2026-01-07T10:15:00Z</dcterms:created>
  <dcterms:modified xsi:type="dcterms:W3CDTF">2026-01-07T10:16:00Z</dcterms:modified>
</cp:coreProperties>
</file>