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59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城市燃气管道老化评估依据</w:t>
      </w:r>
    </w:p>
    <w:p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1.《燃气工程项目规范》GB 55009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2021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2.《城镇燃气设计规范》GB 50028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2006（2020年版）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3.《埋地钢质管道直流干扰防护技术标准》GB50991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2014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4.《城镇燃气设施运行、维护和抢修安全技术》CJJ51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2016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5.《固定式压力容器安全技术监察规程》TSG 21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2016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6.《压力管道定期检验规则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公用管道》TSG D7004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2010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7.《压力管道定期检验规则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工业管道》TSG D7005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2018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8.《燃气用聚乙烯管道焊接技术规则》TSG D2002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2006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9.《压力管道规范 公用管道》GB/T 38942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2020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10.《埋地钢制管道腐蚀防护工程检验》GB/T 19285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2014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11.《在用含缺陷压力容器安全评定》GB/T 19624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2019</w:t>
      </w:r>
      <w:bookmarkStart w:id="0" w:name="_GoBack"/>
      <w:bookmarkEnd w:id="0"/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  <w:spacing w:val="-11"/>
          <w:sz w:val="32"/>
        </w:rPr>
      </w:pPr>
      <w:r>
        <w:rPr>
          <w:rFonts w:hint="default" w:ascii="Times New Roman" w:hAnsi="Times New Roman" w:eastAsia="仿宋_GB2312" w:cs="Times New Roman"/>
        </w:rPr>
        <w:t>12.《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埋地钢质管道交流干扰防护技术标准》GB/T50698</w:t>
      </w:r>
      <w:r>
        <w:rPr>
          <w:rFonts w:hint="eastAsia" w:ascii="Times New Roman" w:hAnsi="Times New Roman" w:eastAsia="仿宋_GB2312" w:cs="Times New Roman"/>
          <w:spacing w:val="-11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2011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13.《埋地钢质管道风险评估方法》GB/T 27512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2011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14.《流体输送用热塑性塑料管道系统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耐内压性能的测定》GB/T 6111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2018</w:t>
      </w:r>
    </w:p>
    <w:p>
      <w:pPr>
        <w:snapToGrid w:val="0"/>
        <w:spacing w:line="59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15.《热塑性塑料管材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拉伸性能测定 第1部分</w:t>
      </w:r>
      <w:r>
        <w:rPr>
          <w:rFonts w:hint="eastAsia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试验方法总则》GB/T 8804.1</w:t>
      </w:r>
      <w:r>
        <w:rPr>
          <w:rFonts w:hint="eastAsia" w:ascii="Times New Roman" w:hAnsi="Times New Roman" w:eastAsia="仿宋_GB2312" w:cs="Times New Roman"/>
          <w:lang w:eastAsia="zh-CN"/>
        </w:rPr>
        <w:t>—</w:t>
      </w:r>
      <w:r>
        <w:rPr>
          <w:rFonts w:hint="default" w:ascii="Times New Roman" w:hAnsi="Times New Roman" w:eastAsia="仿宋_GB2312" w:cs="Times New Roman"/>
        </w:rPr>
        <w:t>2003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仿宋_GB2312" w:hAnsi="仿宋_GB2312" w:eastAsia="仿宋_GB2312" w:cs="仿宋_GB2312"/>
        <w:sz w:val="28"/>
        <w:szCs w:val="28"/>
      </w:rPr>
    </w:pPr>
    <w:r>
      <w:rPr>
        <w:rStyle w:val="7"/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t>15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t xml:space="preserve"> —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mJiMDUwYmU1M2UxZWJhYzkyMThiZjFjZWU0ZWUifQ=="/>
  </w:docVars>
  <w:rsids>
    <w:rsidRoot w:val="3054149B"/>
    <w:rsid w:val="3054149B"/>
    <w:rsid w:val="EFCE466A"/>
    <w:rsid w:val="FF7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24" w:lineRule="auto"/>
      <w:ind w:firstLine="640" w:firstLineChars="200"/>
    </w:pPr>
    <w:rPr>
      <w:rFonts w:hint="eastAsia" w:ascii="仿宋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2023-11-29T00:34:00Z</dcterms:created>
  <dc:creator>韦君琳</dc:creator>
  <cp:lastModifiedBy>杨淑玲</cp:lastModifiedBy>
  <dcterms:modified xsi:type="dcterms:W3CDTF">2024-01-22T18:14:50Z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C0559025C60343B5BF7ED90639F8669C_11</vt:lpwstr>
  </property>
</Properties>
</file>