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_GBK" w:hAnsi="方正小标宋_GBK" w:eastAsia="方正小标宋_GBK" w:cs="方正小标宋_GBK"/>
          <w:spacing w:val="0"/>
          <w:sz w:val="44"/>
          <w:szCs w:val="44"/>
          <w:lang w:eastAsia="zh-CN"/>
        </w:rPr>
      </w:pPr>
      <w:bookmarkStart w:id="0" w:name="OLE_LINK4"/>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lang w:eastAsia="zh-CN"/>
        </w:rPr>
        <w:t>桂林</w:t>
      </w:r>
      <w:r>
        <w:rPr>
          <w:rFonts w:hint="eastAsia" w:ascii="方正小标宋_GBK" w:hAnsi="方正小标宋_GBK" w:eastAsia="方正小标宋_GBK" w:cs="方正小标宋_GBK"/>
          <w:color w:val="auto"/>
          <w:spacing w:val="0"/>
          <w:sz w:val="44"/>
          <w:szCs w:val="44"/>
        </w:rPr>
        <w:t>市</w:t>
      </w:r>
      <w:r>
        <w:rPr>
          <w:rFonts w:hint="eastAsia" w:ascii="方正小标宋_GBK" w:hAnsi="方正小标宋_GBK" w:eastAsia="方正小标宋_GBK" w:cs="方正小标宋_GBK"/>
          <w:color w:val="auto"/>
          <w:spacing w:val="0"/>
          <w:sz w:val="44"/>
          <w:szCs w:val="44"/>
          <w:lang w:eastAsia="zh-CN"/>
        </w:rPr>
        <w:t>建立城区</w:t>
      </w:r>
      <w:r>
        <w:rPr>
          <w:rFonts w:hint="eastAsia" w:ascii="方正小标宋_GBK" w:hAnsi="方正小标宋_GBK" w:eastAsia="方正小标宋_GBK" w:cs="方正小标宋_GBK"/>
          <w:color w:val="auto"/>
          <w:spacing w:val="0"/>
          <w:sz w:val="44"/>
          <w:szCs w:val="44"/>
        </w:rPr>
        <w:t>管</w:t>
      </w:r>
      <w:r>
        <w:rPr>
          <w:rFonts w:hint="eastAsia" w:ascii="方正小标宋_GBK" w:hAnsi="方正小标宋_GBK" w:eastAsia="方正小标宋_GBK" w:cs="方正小标宋_GBK"/>
          <w:color w:val="auto"/>
          <w:spacing w:val="0"/>
          <w:sz w:val="44"/>
          <w:szCs w:val="44"/>
          <w:lang w:eastAsia="zh-CN"/>
        </w:rPr>
        <w:t>道</w:t>
      </w:r>
      <w:r>
        <w:rPr>
          <w:rFonts w:hint="eastAsia" w:ascii="方正小标宋_GBK" w:hAnsi="方正小标宋_GBK" w:eastAsia="方正小标宋_GBK" w:cs="方正小标宋_GBK"/>
          <w:color w:val="auto"/>
          <w:spacing w:val="0"/>
          <w:sz w:val="44"/>
          <w:szCs w:val="44"/>
        </w:rPr>
        <w:t>燃气上下游价格</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color w:val="auto"/>
          <w:spacing w:val="0"/>
          <w:sz w:val="44"/>
          <w:szCs w:val="44"/>
        </w:rPr>
        <w:t>联动机制实施方案</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1" w:name="OLE_LINK17"/>
      <w:r>
        <w:rPr>
          <w:rFonts w:hint="default" w:ascii="Times New Roman" w:hAnsi="Times New Roman" w:eastAsia="仿宋_GB2312" w:cs="Times New Roman"/>
          <w:color w:val="auto"/>
          <w:sz w:val="32"/>
          <w:szCs w:val="32"/>
          <w:lang w:val="en-US" w:eastAsia="zh-CN"/>
        </w:rPr>
        <w:t>为贯彻落实国家、自治区有关建立健全天然气上下游价格联动机制的部署</w:t>
      </w:r>
      <w:bookmarkStart w:id="8" w:name="_GoBack"/>
      <w:bookmarkEnd w:id="8"/>
      <w:r>
        <w:rPr>
          <w:rFonts w:hint="default" w:ascii="Times New Roman" w:hAnsi="Times New Roman" w:eastAsia="仿宋_GB2312" w:cs="Times New Roman"/>
          <w:color w:val="auto"/>
          <w:sz w:val="32"/>
          <w:szCs w:val="32"/>
          <w:lang w:val="en-US" w:eastAsia="zh-CN"/>
        </w:rPr>
        <w:t>要求，进一步深化管道燃气价格形成机制改革，促进终端销售价格灵敏反映市场供需变化，保障管道燃气安全稳定供应，根据《广西壮族自治区发展和改革委员会关于做好建立健全管道燃气上下游价格联动机制有关工作的通知》（桂发改价格〔2023〕814号）精神，结合我市实际，就我市建立</w:t>
      </w:r>
      <w:r>
        <w:rPr>
          <w:rFonts w:hint="eastAsia" w:ascii="Times New Roman" w:hAnsi="Times New Roman" w:eastAsia="仿宋_GB2312" w:cs="Times New Roman"/>
          <w:color w:val="auto"/>
          <w:sz w:val="32"/>
          <w:szCs w:val="32"/>
          <w:lang w:val="en-US" w:eastAsia="zh-CN"/>
        </w:rPr>
        <w:t>城区</w:t>
      </w:r>
      <w:r>
        <w:rPr>
          <w:rFonts w:hint="default" w:ascii="Times New Roman" w:hAnsi="Times New Roman" w:eastAsia="仿宋_GB2312" w:cs="Times New Roman"/>
          <w:color w:val="auto"/>
          <w:sz w:val="32"/>
          <w:szCs w:val="32"/>
          <w:lang w:val="en-US" w:eastAsia="zh-CN"/>
        </w:rPr>
        <w:t>管道燃气上下游价格联动机制，制定本实施方案。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一、基本原则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2" w:name="OLE_LINK7"/>
      <w:bookmarkStart w:id="3" w:name="OLE_LINK6"/>
      <w:bookmarkStart w:id="4" w:name="OLE_LINK5"/>
      <w:r>
        <w:rPr>
          <w:rFonts w:hint="eastAsia" w:ascii="楷体" w:hAnsi="楷体" w:eastAsia="楷体" w:cs="楷体"/>
          <w:b w:val="0"/>
          <w:bCs w:val="0"/>
          <w:color w:val="auto"/>
          <w:sz w:val="32"/>
          <w:szCs w:val="32"/>
          <w:lang w:val="en-US" w:eastAsia="zh-CN"/>
        </w:rPr>
        <w:t>（</w:t>
      </w:r>
      <w:bookmarkEnd w:id="2"/>
      <w:r>
        <w:rPr>
          <w:rFonts w:hint="eastAsia" w:ascii="楷体" w:hAnsi="楷体" w:eastAsia="楷体" w:cs="楷体"/>
          <w:b w:val="0"/>
          <w:bCs w:val="0"/>
          <w:color w:val="auto"/>
          <w:sz w:val="32"/>
          <w:szCs w:val="32"/>
          <w:lang w:val="en-US" w:eastAsia="zh-CN"/>
        </w:rPr>
        <w:t>一</w:t>
      </w:r>
      <w:bookmarkStart w:id="5" w:name="OLE_LINK8"/>
      <w:r>
        <w:rPr>
          <w:rFonts w:hint="eastAsia" w:ascii="楷体" w:hAnsi="楷体" w:eastAsia="楷体" w:cs="楷体"/>
          <w:b w:val="0"/>
          <w:bCs w:val="0"/>
          <w:color w:val="auto"/>
          <w:sz w:val="32"/>
          <w:szCs w:val="32"/>
          <w:lang w:val="en-US" w:eastAsia="zh-CN"/>
        </w:rPr>
        <w:t>）</w:t>
      </w:r>
      <w:bookmarkEnd w:id="5"/>
      <w:r>
        <w:rPr>
          <w:rFonts w:hint="eastAsia" w:ascii="楷体" w:hAnsi="楷体" w:eastAsia="楷体" w:cs="楷体"/>
          <w:b w:val="0"/>
          <w:bCs w:val="0"/>
          <w:color w:val="auto"/>
          <w:sz w:val="32"/>
          <w:szCs w:val="32"/>
          <w:lang w:val="en-US" w:eastAsia="zh-CN"/>
        </w:rPr>
        <w:t>把准改革方向</w:t>
      </w:r>
      <w:bookmarkEnd w:id="3"/>
      <w:r>
        <w:rPr>
          <w:rFonts w:hint="eastAsia" w:ascii="楷体" w:hAnsi="楷体" w:eastAsia="楷体" w:cs="楷体"/>
          <w:b w:val="0"/>
          <w:bCs w:val="0"/>
          <w:color w:val="auto"/>
          <w:sz w:val="32"/>
          <w:szCs w:val="32"/>
          <w:lang w:val="en-US" w:eastAsia="zh-CN"/>
        </w:rPr>
        <w:t>。</w:t>
      </w:r>
      <w:bookmarkEnd w:id="4"/>
      <w:r>
        <w:rPr>
          <w:rFonts w:hint="default" w:ascii="Times New Roman" w:hAnsi="Times New Roman" w:eastAsia="仿宋_GB2312" w:cs="Times New Roman"/>
          <w:color w:val="auto"/>
          <w:sz w:val="32"/>
          <w:szCs w:val="32"/>
          <w:lang w:val="en-US" w:eastAsia="zh-CN"/>
        </w:rPr>
        <w:t>贯彻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管住中间，放开两头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总体思路，建立管道燃气上下游价格联动机制，明确联动范围、启动条件、联动周期、联动公式、联动程序等，推进管道燃气价格市场化改革，更好地维护管道燃气市场稳定。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bookmarkStart w:id="6" w:name="OLE_LINK9"/>
      <w:r>
        <w:rPr>
          <w:rFonts w:hint="eastAsia" w:ascii="楷体" w:hAnsi="楷体" w:eastAsia="楷体" w:cs="楷体"/>
          <w:b w:val="0"/>
          <w:bCs w:val="0"/>
          <w:color w:val="auto"/>
          <w:sz w:val="32"/>
          <w:szCs w:val="32"/>
          <w:lang w:val="en-US" w:eastAsia="zh-CN"/>
        </w:rPr>
        <w:t>（二）审</w:t>
      </w:r>
      <w:bookmarkEnd w:id="6"/>
      <w:r>
        <w:rPr>
          <w:rFonts w:hint="eastAsia" w:ascii="楷体" w:hAnsi="楷体" w:eastAsia="楷体" w:cs="楷体"/>
          <w:b w:val="0"/>
          <w:bCs w:val="0"/>
          <w:color w:val="auto"/>
          <w:sz w:val="32"/>
          <w:szCs w:val="32"/>
          <w:lang w:val="en-US" w:eastAsia="zh-CN"/>
        </w:rPr>
        <w:t>慎稳妥推进。</w:t>
      </w:r>
      <w:r>
        <w:rPr>
          <w:rFonts w:hint="default" w:ascii="Times New Roman" w:hAnsi="Times New Roman" w:eastAsia="仿宋_GB2312" w:cs="Times New Roman"/>
          <w:color w:val="auto"/>
          <w:sz w:val="32"/>
          <w:szCs w:val="32"/>
          <w:lang w:val="en-US" w:eastAsia="zh-CN"/>
        </w:rPr>
        <w:t>坚持保障优先，维护市场公平公正，统筹兼顾燃气经营企业、用气企业发展，把握好时机、节奏和力度，排查消除风险隐患，确保价格联动平稳有序实施。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b w:val="0"/>
          <w:bCs w:val="0"/>
          <w:color w:val="auto"/>
          <w:sz w:val="32"/>
          <w:szCs w:val="32"/>
          <w:lang w:val="en-US" w:eastAsia="zh-CN"/>
        </w:rPr>
        <w:t>（三）坚守民生底线。</w:t>
      </w:r>
      <w:r>
        <w:rPr>
          <w:rFonts w:hint="default" w:ascii="Times New Roman" w:hAnsi="Times New Roman" w:eastAsia="仿宋_GB2312" w:cs="Times New Roman"/>
          <w:color w:val="auto"/>
          <w:sz w:val="32"/>
          <w:szCs w:val="32"/>
          <w:lang w:val="en-US" w:eastAsia="zh-CN"/>
        </w:rPr>
        <w:t>充分考虑用户承受能力，合理控制居民用气终端销售价格联动调整幅度。合理区分基本与非基本需求，保持民生用气气量和价格基本稳定。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二、实施内容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（一）联动范围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桂林</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城区</w:t>
      </w:r>
      <w:r>
        <w:rPr>
          <w:rFonts w:hint="default" w:ascii="Times New Roman" w:hAnsi="Times New Roman" w:eastAsia="仿宋_GB2312" w:cs="Times New Roman"/>
          <w:color w:val="auto"/>
          <w:sz w:val="32"/>
          <w:szCs w:val="32"/>
          <w:lang w:val="en-US" w:eastAsia="zh-CN"/>
        </w:rPr>
        <w:t>管道燃气终端销售价格与燃气经营企业气源采购价格（含运输费用）实行同向联动。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（二）采购价格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燃气经营企业气源采购价格按照采购的全部气源加权平均价格确定，包括管道（含陆上、进口）天然气、液化天然气（LNG）、压缩天然气（CNG）、储气设施购气、交易平台公开交易气等。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六城</w:t>
      </w:r>
      <w:r>
        <w:rPr>
          <w:rFonts w:hint="default" w:ascii="Times New Roman" w:hAnsi="Times New Roman" w:eastAsia="仿宋_GB2312" w:cs="Times New Roman"/>
          <w:color w:val="auto"/>
          <w:sz w:val="32"/>
          <w:szCs w:val="32"/>
          <w:lang w:val="en-US" w:eastAsia="zh-CN"/>
        </w:rPr>
        <w:t>区内有多家燃气企业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采购价格基本接近且统一定价的，气源采购价格按所有燃气经营企业采购价格加权平均确定。当燃气经营企业气源采购价格与同一区域多家燃气企业加权平均采购价差价较大时，可单独核算气源采购价格。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color w:val="auto"/>
          <w:sz w:val="32"/>
          <w:szCs w:val="32"/>
          <w:lang w:val="en-US" w:eastAsia="zh-CN"/>
        </w:rPr>
      </w:pPr>
      <w:r>
        <w:rPr>
          <w:rFonts w:hint="default" w:ascii="楷体" w:hAnsi="楷体" w:eastAsia="楷体" w:cs="楷体"/>
          <w:b w:val="0"/>
          <w:bCs w:val="0"/>
          <w:color w:val="auto"/>
          <w:sz w:val="32"/>
          <w:szCs w:val="32"/>
          <w:lang w:val="en-US" w:eastAsia="zh-CN"/>
        </w:rPr>
        <w:t>（三）联动周期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天然气市场季节性供需结构设定，原则上居民用气终端销售价格按合同年（每年4月至次年3月）为周期每年联动1次；非居民用气终端销售价格按采暖季（每年11月至次年3月）和非采暖季（每年4月至10月）为周期每年联动2次，可逐步过渡到按季度或月度联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color w:val="auto"/>
          <w:sz w:val="32"/>
          <w:szCs w:val="32"/>
          <w:lang w:val="en-US" w:eastAsia="zh-CN"/>
        </w:rPr>
      </w:pPr>
      <w:bookmarkStart w:id="7" w:name="OLE_LINK10"/>
      <w:r>
        <w:rPr>
          <w:rFonts w:hint="default" w:ascii="楷体" w:hAnsi="楷体" w:eastAsia="楷体" w:cs="楷体"/>
          <w:b w:val="0"/>
          <w:bCs w:val="0"/>
          <w:color w:val="auto"/>
          <w:sz w:val="32"/>
          <w:szCs w:val="32"/>
          <w:lang w:val="en-US" w:eastAsia="zh-CN"/>
        </w:rPr>
        <w:t>（四）联动</w:t>
      </w:r>
      <w:bookmarkEnd w:id="7"/>
      <w:r>
        <w:rPr>
          <w:rFonts w:hint="default" w:ascii="楷体" w:hAnsi="楷体" w:eastAsia="楷体" w:cs="楷体"/>
          <w:b w:val="0"/>
          <w:bCs w:val="0"/>
          <w:color w:val="auto"/>
          <w:sz w:val="32"/>
          <w:szCs w:val="32"/>
          <w:lang w:val="en-US" w:eastAsia="zh-CN"/>
        </w:rPr>
        <w:t>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当周期内气源平均采购价格上下波动幅度达到5%及以上，方可启动管道燃气上下游价格联动机制；当周期内气源平均采购价格上下波动幅度未达到5%，可不予启动管道燃气上下游价格联动机制，超出或滞后部分在后续联动周期适时疏导或对冲。</w:t>
      </w:r>
      <w:r>
        <w:rPr>
          <w:rFonts w:hint="eastAsia" w:ascii="Times New Roman" w:hAnsi="Times New Roman" w:eastAsia="仿宋_GB2312" w:cs="Times New Roman"/>
          <w:color w:val="auto"/>
          <w:sz w:val="32"/>
          <w:szCs w:val="32"/>
          <w:u w:val="none"/>
          <w:lang w:val="en-US" w:eastAsia="zh-CN"/>
        </w:rPr>
        <w:t>当上游气源价格上涨幅度过大，或者价格联动过程中出现影响社会稳定等突发事件时，可中止上下游价格联动。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（五）联动公式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 xml:space="preserve">首次建立联动机制时，终端销售价格=加权平均气源采购价格+配气价格。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气源加权平均采购价格=（</w:t>
      </w:r>
      <w:r>
        <w:rPr>
          <w:rFonts w:hint="default" w:ascii="仿宋_GB2312" w:hAnsi="仿宋_GB2312" w:eastAsia="仿宋_GB2312" w:cs="仿宋_GB2312"/>
          <w:color w:val="auto"/>
          <w:sz w:val="32"/>
          <w:szCs w:val="32"/>
          <w:lang w:val="en-US" w:eastAsia="zh-CN"/>
        </w:rPr>
        <w:t>∑各</w:t>
      </w:r>
      <w:r>
        <w:rPr>
          <w:rFonts w:hint="default" w:ascii="Times New Roman" w:hAnsi="Times New Roman" w:eastAsia="仿宋_GB2312" w:cs="Times New Roman"/>
          <w:color w:val="auto"/>
          <w:sz w:val="32"/>
          <w:szCs w:val="32"/>
          <w:lang w:val="en-US" w:eastAsia="zh-CN"/>
        </w:rPr>
        <w:t>类气源采购单价</w:t>
      </w:r>
      <w:r>
        <w:rPr>
          <w:rFonts w:hint="default" w:ascii="Arial" w:hAnsi="Arial" w:eastAsia="汉仪细圆B5" w:cs="Arial"/>
          <w:color w:val="auto"/>
          <w:sz w:val="32"/>
          <w:szCs w:val="32"/>
          <w:lang w:val="en-US" w:eastAsia="zh-CN"/>
        </w:rPr>
        <w:t>×</w:t>
      </w:r>
      <w:r>
        <w:rPr>
          <w:rFonts w:hint="default" w:ascii="Times New Roman" w:hAnsi="Times New Roman" w:eastAsia="仿宋_GB2312" w:cs="Times New Roman"/>
          <w:color w:val="auto"/>
          <w:sz w:val="32"/>
          <w:szCs w:val="32"/>
          <w:lang w:val="en-US" w:eastAsia="zh-CN"/>
        </w:rPr>
        <w:t>各类气源采购量+管道气采购气量</w:t>
      </w:r>
      <w:r>
        <w:rPr>
          <w:rFonts w:hint="default" w:ascii="Arial" w:hAnsi="Arial" w:eastAsia="汉仪细圆B5" w:cs="Arial"/>
          <w:color w:val="auto"/>
          <w:sz w:val="32"/>
          <w:szCs w:val="32"/>
          <w:lang w:val="en-US" w:eastAsia="zh-CN"/>
        </w:rPr>
        <w:t>×</w:t>
      </w:r>
      <w:r>
        <w:rPr>
          <w:rFonts w:hint="default" w:ascii="Times New Roman" w:hAnsi="Times New Roman" w:eastAsia="仿宋_GB2312" w:cs="Times New Roman"/>
          <w:color w:val="auto"/>
          <w:sz w:val="32"/>
          <w:szCs w:val="32"/>
          <w:lang w:val="en-US" w:eastAsia="zh-CN"/>
        </w:rPr>
        <w:t>管道运输价格+非管道气采购气量</w:t>
      </w:r>
      <w:r>
        <w:rPr>
          <w:rFonts w:hint="default" w:ascii="Arial" w:hAnsi="Arial" w:eastAsia="汉仪细圆B5" w:cs="Arial"/>
          <w:color w:val="auto"/>
          <w:sz w:val="32"/>
          <w:szCs w:val="32"/>
          <w:lang w:val="en-US" w:eastAsia="zh-CN"/>
        </w:rPr>
        <w:t>×</w:t>
      </w:r>
      <w:r>
        <w:rPr>
          <w:rFonts w:hint="default" w:ascii="Times New Roman" w:hAnsi="Times New Roman" w:eastAsia="仿宋_GB2312" w:cs="Times New Roman"/>
          <w:color w:val="auto"/>
          <w:sz w:val="32"/>
          <w:szCs w:val="32"/>
          <w:lang w:val="en-US" w:eastAsia="zh-CN"/>
        </w:rPr>
        <w:t>到城市门站运价）÷</w:t>
      </w:r>
      <w:r>
        <w:rPr>
          <w:rFonts w:hint="default"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各类气源采购量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2.机制建成运行后，终端销售价格=上期终端销售价格+价格联动调整金额。其中：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价格联动调整金额=（本期加权平均气源采购价格-上期加权平均气源采购价格）÷（1－供销差率）±上期应调未调金额及偏差金额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供销差率按《广西壮族自治区城镇管道燃气配气价格管理办法》（桂发改价格规</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1244号）第八条第（三）项明确的标准以及办法确定原则上不超过4%。</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（六）联动幅度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u w:val="none"/>
          <w:lang w:val="en-US" w:eastAsia="zh-CN"/>
        </w:rPr>
        <w:t>终端销售价格联动应</w:t>
      </w:r>
      <w:r>
        <w:rPr>
          <w:rFonts w:hint="default" w:ascii="Times New Roman" w:hAnsi="Times New Roman" w:eastAsia="仿宋_GB2312" w:cs="Times New Roman"/>
          <w:color w:val="auto"/>
          <w:sz w:val="32"/>
          <w:szCs w:val="32"/>
          <w:u w:val="none"/>
          <w:lang w:val="en-US" w:eastAsia="zh-CN"/>
        </w:rPr>
        <w:t>综合考虑社会承受能力，按照兼顾供气企业、消费者利益，保持经济社会发展平稳原则，可适度控制调整幅度。</w:t>
      </w:r>
      <w:r>
        <w:rPr>
          <w:rFonts w:hint="default" w:ascii="Times New Roman" w:hAnsi="Times New Roman" w:eastAsia="仿宋_GB2312" w:cs="Times New Roman"/>
          <w:color w:val="auto"/>
          <w:sz w:val="32"/>
          <w:szCs w:val="32"/>
          <w:lang w:val="en-US" w:eastAsia="zh-CN"/>
        </w:rPr>
        <w:t>居民用气终端销售价格上调坚持平稳从紧原则，原则上单次上调价格不超过</w:t>
      </w:r>
      <w:r>
        <w:rPr>
          <w:rFonts w:hint="eastAsia"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lang w:val="en-US" w:eastAsia="zh-CN"/>
        </w:rPr>
        <w:t>元/立方米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超出部分在后续联动周期适时疏导或对冲；非居民用气上调额度原则上单次不超过现行销售价格的20%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超出部分在后续联动周期适时疏导或对冲。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居民用气和非居民用气终端销售价格下调不设幅度限制。当平均上游价格下调时，应在合理疏导对冲后，及时全额传导到终端用户，降低销售价格。管道燃气配气价格调整时，终端销售价格相应调整，不受联动机制限制；自治区价格主管部门对短途管道运输价格调整另有政策规定的，不受联动机制限制。因气源构成比例和价格变动幅度存在不确定性导致的气源采购价格测算偏差，在下一联动周期进行清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color w:val="auto"/>
          <w:sz w:val="32"/>
          <w:szCs w:val="32"/>
          <w:lang w:val="en-US" w:eastAsia="zh-CN"/>
        </w:rPr>
      </w:pPr>
      <w:r>
        <w:rPr>
          <w:rFonts w:hint="default" w:ascii="楷体" w:hAnsi="楷体" w:eastAsia="楷体" w:cs="楷体"/>
          <w:b w:val="0"/>
          <w:bCs w:val="0"/>
          <w:color w:val="auto"/>
          <w:sz w:val="32"/>
          <w:szCs w:val="32"/>
          <w:lang w:val="en-US" w:eastAsia="zh-CN"/>
        </w:rPr>
        <w:t>（七）联动程序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燃气价格联动由市价格主管部门按照《广西壮族自治区定价目录》规定的价格管理权限实施。联动机制启动前30日，燃气经营企业应如实向价格主管部门报送本周期采购气源价格、气量的结算单据、发票及采购合同等相关数据和资料，同步提交价格联动调整申请。价格主管部门开展调查审核后，分类制定居民和非居民天然气价格联动调整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2.根据《政府制定价格听证办法》等相关规定，除首次建立居民用气终端销售价格联动机制要依法履行听证程序外，依据法定程序</w:t>
      </w:r>
      <w:r>
        <w:rPr>
          <w:rFonts w:hint="eastAsia" w:ascii="Times New Roman" w:hAnsi="Times New Roman" w:eastAsia="仿宋_GB2312" w:cs="Times New Roman"/>
          <w:color w:val="auto"/>
          <w:sz w:val="32"/>
          <w:szCs w:val="32"/>
          <w:lang w:val="en-US" w:eastAsia="zh-CN"/>
        </w:rPr>
        <w:t>完善</w:t>
      </w:r>
      <w:r>
        <w:rPr>
          <w:rFonts w:hint="default" w:ascii="Times New Roman" w:hAnsi="Times New Roman" w:eastAsia="仿宋_GB2312" w:cs="Times New Roman"/>
          <w:color w:val="auto"/>
          <w:sz w:val="32"/>
          <w:szCs w:val="32"/>
          <w:lang w:val="en-US" w:eastAsia="zh-CN"/>
        </w:rPr>
        <w:t>建立的</w:t>
      </w:r>
      <w:r>
        <w:rPr>
          <w:rFonts w:hint="eastAsia" w:ascii="Times New Roman" w:hAnsi="Times New Roman" w:eastAsia="仿宋_GB2312" w:cs="Times New Roman"/>
          <w:color w:val="auto"/>
          <w:sz w:val="32"/>
          <w:szCs w:val="32"/>
          <w:lang w:val="en-US" w:eastAsia="zh-CN"/>
        </w:rPr>
        <w:t>城区</w:t>
      </w:r>
      <w:r>
        <w:rPr>
          <w:rFonts w:hint="default" w:ascii="Times New Roman" w:hAnsi="Times New Roman" w:eastAsia="仿宋_GB2312" w:cs="Times New Roman"/>
          <w:color w:val="auto"/>
          <w:sz w:val="32"/>
          <w:szCs w:val="32"/>
          <w:lang w:val="en-US" w:eastAsia="zh-CN"/>
        </w:rPr>
        <w:t>管道燃气上下游价格联动机制，制定或调整具体价格水平时不再履行听证等重大行政决策规定程序，市价格主管部门向市人民政府请示（报备）后下达燃气价格联动调整文件并组织实施。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val="0"/>
          <w:bCs w:val="0"/>
          <w:color w:val="auto"/>
          <w:sz w:val="32"/>
          <w:szCs w:val="32"/>
          <w:lang w:val="en-US" w:eastAsia="zh-CN"/>
        </w:rPr>
      </w:pPr>
      <w:r>
        <w:rPr>
          <w:rFonts w:hint="default" w:ascii="楷体" w:hAnsi="楷体" w:eastAsia="楷体" w:cs="楷体"/>
          <w:b w:val="0"/>
          <w:bCs w:val="0"/>
          <w:color w:val="auto"/>
          <w:sz w:val="32"/>
          <w:szCs w:val="32"/>
          <w:lang w:val="en-US" w:eastAsia="zh-CN"/>
        </w:rPr>
        <w:t>（八）价格约束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燃气经营企业</w:t>
      </w:r>
      <w:r>
        <w:rPr>
          <w:rFonts w:hint="eastAsia"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lang w:val="en-US" w:eastAsia="zh-CN"/>
        </w:rPr>
        <w:t>统筹考虑经济发展水平、产业结构调整和管道燃气市场变化，科学预判经营区域内用气需求，积极优化气源结构，以合理价格采购管道燃气，促使燃气企业降本增效。当燃气经营企业气源采购价格明显高于自治区内周边地区采购价格或</w:t>
      </w:r>
      <w:r>
        <w:rPr>
          <w:rFonts w:hint="eastAsia" w:ascii="Times New Roman" w:hAnsi="Times New Roman" w:eastAsia="仿宋_GB2312" w:cs="Times New Roman"/>
          <w:color w:val="auto"/>
          <w:sz w:val="32"/>
          <w:szCs w:val="32"/>
          <w:lang w:val="en-US" w:eastAsia="zh-CN"/>
        </w:rPr>
        <w:t>桂林</w:t>
      </w:r>
      <w:r>
        <w:rPr>
          <w:rFonts w:hint="default" w:ascii="Times New Roman" w:hAnsi="Times New Roman" w:eastAsia="仿宋_GB2312" w:cs="Times New Roman"/>
          <w:color w:val="auto"/>
          <w:sz w:val="32"/>
          <w:szCs w:val="32"/>
          <w:lang w:val="en-US" w:eastAsia="zh-CN"/>
        </w:rPr>
        <w:t>市其他气源平均价格，或低价气源不优先保障居民用气时，且未说明正当缘由的，价格主管部门进行约谈</w:t>
      </w:r>
      <w:r>
        <w:rPr>
          <w:rFonts w:hint="eastAsia" w:ascii="Times New Roman" w:hAnsi="Times New Roman" w:eastAsia="仿宋_GB2312" w:cs="Times New Roman"/>
          <w:color w:val="auto"/>
          <w:sz w:val="32"/>
          <w:szCs w:val="32"/>
          <w:lang w:val="en" w:eastAsia="zh-CN"/>
        </w:rPr>
        <w:t>，责令其制定整改方案限期整改，整改不到位的，暂停其价格联动申请资格；</w:t>
      </w:r>
      <w:r>
        <w:rPr>
          <w:rFonts w:hint="default" w:ascii="Times New Roman" w:hAnsi="Times New Roman" w:eastAsia="仿宋_GB2312" w:cs="Times New Roman"/>
          <w:color w:val="auto"/>
          <w:sz w:val="32"/>
          <w:szCs w:val="32"/>
          <w:lang w:val="en-US" w:eastAsia="zh-CN"/>
        </w:rPr>
        <w:t>视情况采取不予联动、不予在后续联动周期进行疏导或对冲，</w:t>
      </w:r>
      <w:r>
        <w:rPr>
          <w:rFonts w:hint="eastAsia"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lang w:val="en-US" w:eastAsia="zh-CN"/>
        </w:rPr>
        <w:t>行业主管部门将其纳入年度经营考核，并依照相关法律法规规定进行处理。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三、保障措施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b w:val="0"/>
          <w:bCs w:val="0"/>
          <w:color w:val="auto"/>
          <w:sz w:val="32"/>
          <w:szCs w:val="32"/>
          <w:lang w:val="en-US" w:eastAsia="zh-CN"/>
        </w:rPr>
        <w:t>（一）加强价格监管。</w:t>
      </w:r>
      <w:r>
        <w:rPr>
          <w:rFonts w:hint="eastAsia" w:ascii="Times New Roman" w:hAnsi="Times New Roman" w:eastAsia="仿宋_GB2312" w:cs="Times New Roman"/>
          <w:color w:val="auto"/>
          <w:sz w:val="32"/>
          <w:szCs w:val="32"/>
          <w:lang w:val="en-US" w:eastAsia="zh-CN"/>
        </w:rPr>
        <w:t>燃气经营企业</w:t>
      </w:r>
      <w:r>
        <w:rPr>
          <w:rFonts w:hint="default" w:ascii="Times New Roman" w:hAnsi="Times New Roman" w:eastAsia="仿宋_GB2312" w:cs="Times New Roman"/>
          <w:color w:val="auto"/>
          <w:sz w:val="32"/>
          <w:szCs w:val="32"/>
          <w:lang w:val="en-US" w:eastAsia="zh-CN"/>
        </w:rPr>
        <w:t>应建立购销台账，定期于每月20日前及时、完整、准确报送上月购销价格和成本信息。价格主管部门按联动机制要求，制定或调整终端销售价格，并及时向社会公开，同时探索科学合理的采购价格激励约束机制。对拒不公开或提供虚假信息的，价格主管部门可视情况采取约谈、减少上调或者加大下调幅度等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b w:val="0"/>
          <w:bCs w:val="0"/>
          <w:color w:val="auto"/>
          <w:sz w:val="32"/>
          <w:szCs w:val="32"/>
          <w:lang w:val="en-US" w:eastAsia="zh-CN"/>
        </w:rPr>
        <w:t>（二）控制采购成本。</w:t>
      </w:r>
      <w:r>
        <w:rPr>
          <w:rFonts w:hint="default" w:ascii="Times New Roman" w:hAnsi="Times New Roman" w:eastAsia="仿宋_GB2312" w:cs="Times New Roman"/>
          <w:color w:val="auto"/>
          <w:sz w:val="32"/>
          <w:szCs w:val="32"/>
          <w:lang w:val="en-US" w:eastAsia="zh-CN"/>
        </w:rPr>
        <w:t>燃气经营企业应密切关注天然气市场动向，充分预判经营区域内阶段性用气需求量，在保障天然气供应的同时，持续优化气源渠道和结构，合理控制气源采购价格。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b w:val="0"/>
          <w:bCs w:val="0"/>
          <w:color w:val="auto"/>
          <w:sz w:val="32"/>
          <w:szCs w:val="32"/>
          <w:lang w:val="en-US" w:eastAsia="zh-CN"/>
        </w:rPr>
        <w:t>（三）做好信息公开。</w:t>
      </w:r>
      <w:r>
        <w:rPr>
          <w:rFonts w:hint="eastAsia" w:ascii="Times New Roman" w:hAnsi="Times New Roman" w:eastAsia="仿宋_GB2312" w:cs="Times New Roman"/>
          <w:color w:val="auto"/>
          <w:sz w:val="32"/>
          <w:szCs w:val="32"/>
          <w:lang w:val="en-US" w:eastAsia="zh-CN"/>
        </w:rPr>
        <w:t>燃气经营企业</w:t>
      </w:r>
      <w:r>
        <w:rPr>
          <w:rFonts w:hint="default" w:ascii="Times New Roman" w:hAnsi="Times New Roman" w:eastAsia="仿宋_GB2312" w:cs="Times New Roman"/>
          <w:color w:val="auto"/>
          <w:sz w:val="32"/>
          <w:szCs w:val="32"/>
          <w:lang w:val="en-US" w:eastAsia="zh-CN"/>
        </w:rPr>
        <w:t>定期在企业门户网站或营业场所，向用户公开采购价格等信息。对瞒报、虚报信息的企业，可通过实施失信惩戒等方式给予惩治。</w:t>
      </w:r>
      <w:r>
        <w:rPr>
          <w:rFonts w:hint="eastAsia" w:ascii="Times New Roman" w:hAnsi="Times New Roman" w:eastAsia="仿宋_GB2312" w:cs="Times New Roman"/>
          <w:color w:val="auto"/>
          <w:sz w:val="32"/>
          <w:szCs w:val="32"/>
          <w:lang w:val="en-US" w:eastAsia="zh-CN"/>
        </w:rPr>
        <w:t>燃气经营企业</w:t>
      </w:r>
      <w:r>
        <w:rPr>
          <w:rFonts w:hint="default" w:ascii="Times New Roman" w:hAnsi="Times New Roman" w:eastAsia="仿宋_GB2312" w:cs="Times New Roman"/>
          <w:color w:val="auto"/>
          <w:sz w:val="32"/>
          <w:szCs w:val="32"/>
          <w:lang w:val="en-US" w:eastAsia="zh-CN"/>
        </w:rPr>
        <w:t>要提前</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天公布调价方案，并通过发送提示微信、短信等方式广泛告知用户，有序安排购气。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楷体" w:hAnsi="楷体" w:eastAsia="楷体" w:cs="楷体"/>
          <w:b w:val="0"/>
          <w:bCs w:val="0"/>
          <w:color w:val="auto"/>
          <w:sz w:val="32"/>
          <w:szCs w:val="32"/>
          <w:lang w:val="en-US" w:eastAsia="zh-CN"/>
        </w:rPr>
        <w:t>（四）兜住民生底线。</w:t>
      </w:r>
      <w:r>
        <w:rPr>
          <w:rFonts w:hint="default" w:ascii="Times New Roman" w:hAnsi="Times New Roman" w:eastAsia="仿宋_GB2312" w:cs="Times New Roman"/>
          <w:color w:val="auto"/>
          <w:sz w:val="32"/>
          <w:szCs w:val="32"/>
          <w:lang w:val="en-US" w:eastAsia="zh-CN"/>
        </w:rPr>
        <w:t>居民用气价格联动坚持平稳、从紧原则，低价气源必须优先保障居民用气。充分考虑低收入家庭经济承受能力，对民政部门认定的低收入困难群体给予相应优惠，切实保障困难群众基本生活需求。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楷体" w:hAnsi="楷体" w:eastAsia="楷体" w:cs="楷体"/>
          <w:b w:val="0"/>
          <w:bCs w:val="0"/>
          <w:color w:val="auto"/>
          <w:sz w:val="32"/>
          <w:szCs w:val="32"/>
          <w:lang w:val="en-US" w:eastAsia="zh-CN"/>
        </w:rPr>
        <w:t>（五）回应社会关切。</w:t>
      </w:r>
      <w:r>
        <w:rPr>
          <w:rFonts w:hint="default" w:ascii="Times New Roman" w:hAnsi="Times New Roman" w:eastAsia="仿宋_GB2312" w:cs="Times New Roman"/>
          <w:color w:val="auto"/>
          <w:sz w:val="32"/>
          <w:szCs w:val="32"/>
          <w:lang w:val="en-US" w:eastAsia="zh-CN"/>
        </w:rPr>
        <w:t>价格主管部门、行业主管部门、</w:t>
      </w:r>
      <w:r>
        <w:rPr>
          <w:rFonts w:hint="eastAsia" w:ascii="Times New Roman" w:hAnsi="Times New Roman" w:eastAsia="仿宋_GB2312" w:cs="Times New Roman"/>
          <w:color w:val="auto"/>
          <w:sz w:val="32"/>
          <w:szCs w:val="32"/>
          <w:lang w:val="en-US" w:eastAsia="zh-CN"/>
        </w:rPr>
        <w:t>燃气经营企业</w:t>
      </w:r>
      <w:r>
        <w:rPr>
          <w:rFonts w:hint="default" w:ascii="Times New Roman" w:hAnsi="Times New Roman" w:eastAsia="仿宋_GB2312" w:cs="Times New Roman"/>
          <w:color w:val="auto"/>
          <w:sz w:val="32"/>
          <w:szCs w:val="32"/>
          <w:lang w:val="en-US" w:eastAsia="zh-CN"/>
        </w:rPr>
        <w:t>要充分利用各种媒体、采取多种形式，加强政策解读和宣传，密切监测舆情动态，及时回应社会关切。</w:t>
      </w:r>
    </w:p>
    <w:bookmarkEnd w:id="1"/>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color w:val="auto"/>
          <w:sz w:val="32"/>
          <w:szCs w:val="32"/>
        </w:rPr>
      </w:pPr>
      <w:r>
        <w:rPr>
          <w:rFonts w:hint="default" w:ascii="Times New Roman" w:hAnsi="Times New Roman" w:eastAsia="仿宋_GB2312" w:cs="Times New Roman"/>
          <w:color w:val="auto"/>
          <w:sz w:val="32"/>
          <w:szCs w:val="32"/>
        </w:rPr>
        <w:t>各县（市）</w:t>
      </w:r>
      <w:r>
        <w:rPr>
          <w:rFonts w:hint="eastAsia"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可参照本方案执行，也可根据定价权限，结合本</w:t>
      </w:r>
      <w:r>
        <w:rPr>
          <w:rFonts w:hint="eastAsia" w:ascii="Times New Roman" w:hAnsi="Times New Roman" w:eastAsia="仿宋_GB2312" w:cs="Times New Roman"/>
          <w:color w:val="auto"/>
          <w:sz w:val="32"/>
          <w:szCs w:val="32"/>
          <w:lang w:eastAsia="zh-CN"/>
        </w:rPr>
        <w:t>辖区</w:t>
      </w:r>
      <w:r>
        <w:rPr>
          <w:rFonts w:hint="default" w:ascii="Times New Roman" w:hAnsi="Times New Roman" w:eastAsia="仿宋_GB2312" w:cs="Times New Roman"/>
          <w:color w:val="auto"/>
          <w:sz w:val="32"/>
          <w:szCs w:val="32"/>
        </w:rPr>
        <w:t>气源特点、用户结构和市场状况等实际制定本地实施方案。</w:t>
      </w:r>
    </w:p>
    <w:p>
      <w:pPr>
        <w:pStyle w:val="3"/>
        <w:keepNext w:val="0"/>
        <w:keepLines w:val="0"/>
        <w:pageBreakBefore w:val="0"/>
        <w:widowControl w:val="0"/>
        <w:kinsoku/>
        <w:wordWrap/>
        <w:overflowPunct/>
        <w:topLinePunct w:val="0"/>
        <w:autoSpaceDE/>
        <w:autoSpaceDN/>
        <w:bidi w:val="0"/>
        <w:spacing w:line="56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color w:val="auto"/>
        </w:rPr>
      </w:pPr>
    </w:p>
    <w:p>
      <w:pPr>
        <w:rPr>
          <w:rFonts w:hint="eastAsia" w:ascii="仿宋_GB2312" w:hAnsi="仿宋_GB2312" w:eastAsia="仿宋_GB2312" w:cs="仿宋_GB2312"/>
          <w:color w:val="auto"/>
          <w:sz w:val="32"/>
          <w:szCs w:val="32"/>
        </w:rPr>
      </w:pPr>
    </w:p>
    <w:p>
      <w:pPr>
        <w:rPr>
          <w:color w:val="auto"/>
        </w:rPr>
      </w:pPr>
    </w:p>
    <w:p>
      <w:pPr>
        <w:pStyle w:val="2"/>
        <w:rPr>
          <w:color w:val="auto"/>
        </w:rPr>
      </w:pPr>
    </w:p>
    <w:p>
      <w:pPr>
        <w:rPr>
          <w:color w:val="auto"/>
        </w:rPr>
      </w:pPr>
    </w:p>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70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cs="Calibri"/>
    </w:rPr>
  </w:style>
  <w:style w:type="paragraph" w:styleId="3">
    <w:name w:val="Body Text First Indent 2"/>
    <w:basedOn w:val="1"/>
    <w:next w:val="1"/>
    <w:uiPriority w:val="0"/>
    <w:pPr>
      <w:spacing w:line="588" w:lineRule="exact"/>
      <w:ind w:firstLine="420" w:firstLineChars="200"/>
    </w:pPr>
    <w:rPr>
      <w:rFonts w:ascii="Calibri" w:hAnsi="Calibri" w:eastAsia="方正仿宋_GBK"/>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2025-10-11T10:25:39Z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