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D9" w:rsidRDefault="008770A4">
      <w:pPr>
        <w:rPr>
          <w:sz w:val="32"/>
          <w:szCs w:val="32"/>
        </w:rPr>
      </w:pPr>
      <w:r>
        <w:rPr>
          <w:rFonts w:hint="eastAsia"/>
          <w:sz w:val="24"/>
          <w:szCs w:val="32"/>
        </w:rPr>
        <w:t>附件</w:t>
      </w:r>
    </w:p>
    <w:p w:rsidR="00A768D9" w:rsidRDefault="008770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年下半年全市建筑市场、质量安全层级监督检查暨建</w:t>
      </w:r>
      <w:r>
        <w:rPr>
          <w:rFonts w:hint="eastAsia"/>
          <w:sz w:val="32"/>
          <w:szCs w:val="32"/>
        </w:rPr>
        <w:t>筑市场农民工工资支付专项检查的通报批评企业（单位）一览表</w:t>
      </w:r>
    </w:p>
    <w:tbl>
      <w:tblPr>
        <w:tblpPr w:leftFromText="180" w:rightFromText="180" w:vertAnchor="page" w:horzAnchor="page" w:tblpX="1324" w:tblpY="3091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2"/>
        <w:gridCol w:w="1926"/>
        <w:gridCol w:w="2109"/>
        <w:gridCol w:w="2388"/>
        <w:gridCol w:w="1784"/>
      </w:tblGrid>
      <w:tr w:rsidR="00A768D9">
        <w:trPr>
          <w:trHeight w:val="863"/>
          <w:tblHeader/>
        </w:trPr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A768D9" w:rsidRDefault="008770A4"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:rsidR="00A768D9" w:rsidRDefault="008770A4"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企业类别</w:t>
            </w:r>
          </w:p>
        </w:tc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68D9" w:rsidRDefault="008770A4"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单位名称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68D9" w:rsidRDefault="008770A4"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 w:hint="eastAsia"/>
                <w:b/>
                <w:sz w:val="28"/>
                <w:szCs w:val="28"/>
              </w:rPr>
              <w:t>工程名称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:rsidR="00A768D9" w:rsidRDefault="008770A4"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 w:hint="eastAsia"/>
                <w:b/>
                <w:sz w:val="28"/>
                <w:szCs w:val="28"/>
              </w:rPr>
              <w:t>备</w:t>
            </w:r>
            <w:r>
              <w:rPr>
                <w:rFonts w:eastAsia="方正仿宋_GBK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b/>
                <w:sz w:val="28"/>
                <w:szCs w:val="28"/>
              </w:rPr>
              <w:t>注</w:t>
            </w:r>
          </w:p>
        </w:tc>
      </w:tr>
      <w:tr w:rsidR="00A768D9">
        <w:trPr>
          <w:trHeight w:val="567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建设单位</w:t>
            </w: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平乐碧桂园房地产开发有限公司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平乐碧桂园一期项目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整改不合格</w:t>
            </w:r>
          </w:p>
        </w:tc>
      </w:tr>
      <w:tr w:rsidR="00A768D9">
        <w:trPr>
          <w:trHeight w:val="698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建设单位</w:t>
            </w: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永福碧桂园房地产开发有限公司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永福碧桂园一期项目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89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施工单位</w:t>
            </w: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江西洪都建筑工程有限公司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桂林恭城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家大院互联网影视旅游基地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区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59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施工单位</w:t>
            </w: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中国建筑第二工程有限公司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平乐碧桂园一期项目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整改不合格</w:t>
            </w:r>
          </w:p>
        </w:tc>
      </w:tr>
      <w:tr w:rsidR="00A768D9">
        <w:trPr>
          <w:trHeight w:val="65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施工单位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广东电北二建集团有限公司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永福碧桂园一期项目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65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施工单位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北海市第二建筑工程有限公司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全州县全州镇光明完小教学综合楼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未按时提交整改资料</w:t>
            </w:r>
          </w:p>
        </w:tc>
      </w:tr>
      <w:tr w:rsidR="00A768D9">
        <w:trPr>
          <w:trHeight w:val="908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施工单位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中国建筑第八工程局有限公司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阳朔县北公交场站项目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未按时提交整改资料</w:t>
            </w:r>
          </w:p>
        </w:tc>
      </w:tr>
      <w:tr w:rsidR="00A768D9">
        <w:trPr>
          <w:trHeight w:val="101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施工单位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桂林中厦建筑工程有限公司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全州万景房地产开发有限公司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101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监理单位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广西天柱建设监理有限公司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桂林恭城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家大院互联网影视旅游基地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区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1013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监理单位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广西桂春工程项目管理有限公司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平乐碧桂园一期项目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整改不合格</w:t>
            </w:r>
          </w:p>
        </w:tc>
      </w:tr>
      <w:tr w:rsidR="00A768D9">
        <w:trPr>
          <w:trHeight w:val="687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监理单位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广西新厦工程咨询有限公司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永福碧桂园一期项目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687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监理单位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中国化学工业桂林工程有限公司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阳朔县北公交场站项目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  <w:tr w:rsidR="00A768D9">
        <w:trPr>
          <w:trHeight w:val="687"/>
          <w:tblHeader/>
        </w:trPr>
        <w:tc>
          <w:tcPr>
            <w:tcW w:w="1212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26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劳务单位</w:t>
            </w:r>
          </w:p>
        </w:tc>
        <w:tc>
          <w:tcPr>
            <w:tcW w:w="2109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广西龙勤劳务派遣有限责任公司</w:t>
            </w:r>
          </w:p>
        </w:tc>
        <w:tc>
          <w:tcPr>
            <w:tcW w:w="2388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桂林恭城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家大院互联网影视旅游基地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区</w:t>
            </w:r>
          </w:p>
        </w:tc>
        <w:tc>
          <w:tcPr>
            <w:tcW w:w="1784" w:type="dxa"/>
            <w:vAlign w:val="center"/>
          </w:tcPr>
          <w:p w:rsidR="00A768D9" w:rsidRDefault="00877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未提交整改资料</w:t>
            </w:r>
          </w:p>
        </w:tc>
      </w:tr>
    </w:tbl>
    <w:p w:rsidR="00A768D9" w:rsidRDefault="00A768D9" w:rsidP="00A768D9">
      <w:pPr>
        <w:pStyle w:val="a0"/>
        <w:ind w:firstLine="320"/>
      </w:pPr>
      <w:bookmarkStart w:id="0" w:name="_GoBack"/>
      <w:bookmarkEnd w:id="0"/>
    </w:p>
    <w:sectPr w:rsidR="00A768D9" w:rsidSect="00A768D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0A4" w:rsidRDefault="008770A4" w:rsidP="00A768D9">
      <w:r>
        <w:separator/>
      </w:r>
    </w:p>
  </w:endnote>
  <w:endnote w:type="continuationSeparator" w:id="1">
    <w:p w:rsidR="008770A4" w:rsidRDefault="008770A4" w:rsidP="00A76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D9" w:rsidRDefault="00A768D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A768D9" w:rsidRDefault="00A768D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770A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0129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0A4" w:rsidRDefault="008770A4" w:rsidP="00A768D9">
      <w:r>
        <w:separator/>
      </w:r>
    </w:p>
  </w:footnote>
  <w:footnote w:type="continuationSeparator" w:id="1">
    <w:p w:rsidR="008770A4" w:rsidRDefault="008770A4" w:rsidP="00A76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79B813B2"/>
    <w:rsid w:val="00057178"/>
    <w:rsid w:val="00092467"/>
    <w:rsid w:val="001247FA"/>
    <w:rsid w:val="001E3AE4"/>
    <w:rsid w:val="00201293"/>
    <w:rsid w:val="00251EBD"/>
    <w:rsid w:val="00313535"/>
    <w:rsid w:val="003B4C8F"/>
    <w:rsid w:val="004D57F0"/>
    <w:rsid w:val="004F7D03"/>
    <w:rsid w:val="005920EA"/>
    <w:rsid w:val="005C0110"/>
    <w:rsid w:val="00697CF4"/>
    <w:rsid w:val="00771CD9"/>
    <w:rsid w:val="008770A4"/>
    <w:rsid w:val="008A6B12"/>
    <w:rsid w:val="008D1FBC"/>
    <w:rsid w:val="008F09A9"/>
    <w:rsid w:val="00962677"/>
    <w:rsid w:val="00A25015"/>
    <w:rsid w:val="00A768D9"/>
    <w:rsid w:val="00B830D1"/>
    <w:rsid w:val="00BC7664"/>
    <w:rsid w:val="00C07A00"/>
    <w:rsid w:val="00D046E9"/>
    <w:rsid w:val="00D63095"/>
    <w:rsid w:val="00EE6D6C"/>
    <w:rsid w:val="00EF7931"/>
    <w:rsid w:val="00F377A4"/>
    <w:rsid w:val="0BC420B3"/>
    <w:rsid w:val="0CFF16AC"/>
    <w:rsid w:val="10A15BCB"/>
    <w:rsid w:val="12D64C12"/>
    <w:rsid w:val="1BE2769C"/>
    <w:rsid w:val="1FCB063A"/>
    <w:rsid w:val="21517010"/>
    <w:rsid w:val="27514DE2"/>
    <w:rsid w:val="27F82D8D"/>
    <w:rsid w:val="32D419CA"/>
    <w:rsid w:val="409A1849"/>
    <w:rsid w:val="4CA75A3C"/>
    <w:rsid w:val="4EB620E4"/>
    <w:rsid w:val="59CB64FE"/>
    <w:rsid w:val="5C8959DB"/>
    <w:rsid w:val="6356464F"/>
    <w:rsid w:val="66CC7CF4"/>
    <w:rsid w:val="6B174951"/>
    <w:rsid w:val="79B813B2"/>
    <w:rsid w:val="7BBE0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768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rsid w:val="00A768D9"/>
    <w:pPr>
      <w:ind w:firstLineChars="100" w:firstLine="420"/>
    </w:pPr>
  </w:style>
  <w:style w:type="paragraph" w:styleId="a4">
    <w:name w:val="Body Text"/>
    <w:basedOn w:val="a"/>
    <w:rsid w:val="00A768D9"/>
    <w:rPr>
      <w:rFonts w:ascii="黑体" w:eastAsia="黑体"/>
      <w:sz w:val="32"/>
    </w:rPr>
  </w:style>
  <w:style w:type="paragraph" w:styleId="a5">
    <w:name w:val="footer"/>
    <w:basedOn w:val="a"/>
    <w:link w:val="Char"/>
    <w:qFormat/>
    <w:rsid w:val="00A7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A7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A768D9"/>
    <w:pPr>
      <w:jc w:val="left"/>
    </w:pPr>
    <w:rPr>
      <w:rFonts w:cs="Times New Roman"/>
      <w:kern w:val="0"/>
      <w:sz w:val="24"/>
    </w:rPr>
  </w:style>
  <w:style w:type="character" w:styleId="a8">
    <w:name w:val="page number"/>
    <w:basedOn w:val="a1"/>
    <w:rsid w:val="00A768D9"/>
  </w:style>
  <w:style w:type="character" w:styleId="a9">
    <w:name w:val="FollowedHyperlink"/>
    <w:basedOn w:val="a1"/>
    <w:qFormat/>
    <w:rsid w:val="00A768D9"/>
    <w:rPr>
      <w:color w:val="666666"/>
      <w:u w:val="none"/>
    </w:rPr>
  </w:style>
  <w:style w:type="character" w:styleId="HTML">
    <w:name w:val="HTML Definition"/>
    <w:basedOn w:val="a1"/>
    <w:qFormat/>
    <w:rsid w:val="00A768D9"/>
  </w:style>
  <w:style w:type="character" w:styleId="HTML0">
    <w:name w:val="HTML Typewriter"/>
    <w:basedOn w:val="a1"/>
    <w:qFormat/>
    <w:rsid w:val="00A768D9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qFormat/>
    <w:rsid w:val="00A768D9"/>
  </w:style>
  <w:style w:type="character" w:styleId="HTML2">
    <w:name w:val="HTML Variable"/>
    <w:basedOn w:val="a1"/>
    <w:qFormat/>
    <w:rsid w:val="00A768D9"/>
  </w:style>
  <w:style w:type="character" w:styleId="aa">
    <w:name w:val="Hyperlink"/>
    <w:basedOn w:val="a1"/>
    <w:qFormat/>
    <w:rsid w:val="00A768D9"/>
    <w:rPr>
      <w:color w:val="666666"/>
      <w:u w:val="none"/>
    </w:rPr>
  </w:style>
  <w:style w:type="character" w:styleId="HTML3">
    <w:name w:val="HTML Code"/>
    <w:basedOn w:val="a1"/>
    <w:qFormat/>
    <w:rsid w:val="00A768D9"/>
    <w:rPr>
      <w:rFonts w:ascii="monospace" w:eastAsia="monospace" w:hAnsi="monospace" w:cs="monospace"/>
      <w:sz w:val="20"/>
    </w:rPr>
  </w:style>
  <w:style w:type="character" w:styleId="HTML4">
    <w:name w:val="HTML Cite"/>
    <w:basedOn w:val="a1"/>
    <w:qFormat/>
    <w:rsid w:val="00A768D9"/>
  </w:style>
  <w:style w:type="character" w:styleId="HTML5">
    <w:name w:val="HTML Keyboard"/>
    <w:basedOn w:val="a1"/>
    <w:qFormat/>
    <w:rsid w:val="00A768D9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sid w:val="00A768D9"/>
    <w:rPr>
      <w:rFonts w:ascii="monospace" w:eastAsia="monospace" w:hAnsi="monospace" w:cs="monospace" w:hint="default"/>
    </w:rPr>
  </w:style>
  <w:style w:type="character" w:customStyle="1" w:styleId="gwdsnopic">
    <w:name w:val="gwds_nopic"/>
    <w:basedOn w:val="a1"/>
    <w:qFormat/>
    <w:rsid w:val="00A768D9"/>
  </w:style>
  <w:style w:type="character" w:customStyle="1" w:styleId="gwdsnopic1">
    <w:name w:val="gwds_nopic1"/>
    <w:basedOn w:val="a1"/>
    <w:qFormat/>
    <w:rsid w:val="00A768D9"/>
  </w:style>
  <w:style w:type="character" w:customStyle="1" w:styleId="gwdsnopic2">
    <w:name w:val="gwds_nopic2"/>
    <w:basedOn w:val="a1"/>
    <w:qFormat/>
    <w:rsid w:val="00A768D9"/>
  </w:style>
  <w:style w:type="character" w:customStyle="1" w:styleId="Char0">
    <w:name w:val="页眉 Char"/>
    <w:basedOn w:val="a1"/>
    <w:link w:val="a6"/>
    <w:qFormat/>
    <w:rsid w:val="00A768D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A768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市直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邱建林</dc:creator>
  <cp:lastModifiedBy>pop</cp:lastModifiedBy>
  <cp:revision>2</cp:revision>
  <dcterms:created xsi:type="dcterms:W3CDTF">2019-01-01T11:02:00Z</dcterms:created>
  <dcterms:modified xsi:type="dcterms:W3CDTF">2019-01-01T11:02:00Z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