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Style w:val="5"/>
          <w:rFonts w:hint="eastAsia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32"/>
          <w:szCs w:val="32"/>
          <w:lang w:eastAsia="zh-CN"/>
        </w:rPr>
        <w:t>附件</w:t>
      </w:r>
      <w:r>
        <w:rPr>
          <w:rStyle w:val="5"/>
          <w:rFonts w:hint="eastAsia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32"/>
          <w:szCs w:val="32"/>
          <w:lang w:val="en-US" w:eastAsia="zh-CN"/>
        </w:rPr>
        <w:t xml:space="preserve">3 </w:t>
      </w:r>
    </w:p>
    <w:p>
      <w:pPr>
        <w:numPr>
          <w:ilvl w:val="0"/>
          <w:numId w:val="0"/>
        </w:numPr>
        <w:rPr>
          <w:rStyle w:val="5"/>
          <w:rFonts w:hint="eastAsia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32"/>
          <w:szCs w:val="32"/>
          <w:lang w:val="en-US" w:eastAsia="zh-CN"/>
        </w:rPr>
        <w:t xml:space="preserve">       </w:t>
      </w:r>
      <w:r>
        <w:rPr>
          <w:rStyle w:val="5"/>
          <w:rFonts w:hint="eastAsia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  <w:t xml:space="preserve">     不合格产品情况说明</w:t>
      </w:r>
    </w:p>
    <w:p>
      <w:pPr>
        <w:numPr>
          <w:ilvl w:val="0"/>
          <w:numId w:val="0"/>
        </w:numPr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菌落总数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菌落总数是指示性微生物指标，不是致病菌指标，反映食品在生产过程中的卫生状况。如果食品中的菌落总数严重超标，将会破坏食品的营养成分，使食品失去食用价值；还会加速食品的腐败变质，可能危害人体健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2F0C"/>
    <w:rsid w:val="0DF02F0C"/>
    <w:rsid w:val="54E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2021-04-18T02:10:00Z</dcterms:created>
  <dc:creator>夏始夏末</dc:creator>
  <cp:lastModifiedBy>夏始夏末</cp:lastModifiedBy>
  <dcterms:modified xsi:type="dcterms:W3CDTF">2021-04-19T02:35:02Z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9D350A11A6964BFA97920AC8401D24A8</vt:lpwstr>
  </property>
</Properties>
</file>