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0" w:firstLineChars="0"/>
        <w:jc w:val="center"/>
        <w:rPr>
          <w:rFonts w:hint="eastAsia" w:ascii="方正小标宋_GBK" w:hAnsi="方正公文小标宋" w:eastAsia="方正小标宋_GBK" w:cs="方正公文小标宋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sz w:val="44"/>
          <w:szCs w:val="44"/>
        </w:rPr>
        <w:t>漓</w:t>
      </w:r>
      <w:r>
        <w:rPr>
          <w:rFonts w:hint="eastAsia" w:ascii="方正小标宋_GBK" w:hAnsi="方正公文小标宋" w:eastAsia="方正小标宋_GBK" w:cs="方正公文小标宋"/>
          <w:sz w:val="44"/>
          <w:szCs w:val="44"/>
        </w:rPr>
        <w:t>江生态环境质量指数报告</w:t>
      </w:r>
    </w:p>
    <w:p>
      <w:pPr>
        <w:ind w:firstLine="0" w:firstLineChars="0"/>
        <w:jc w:val="center"/>
        <w:rPr>
          <w:rFonts w:eastAsia="楷体" w:cs="Times New Roman"/>
        </w:rPr>
      </w:pPr>
      <w:r>
        <w:rPr>
          <w:rFonts w:eastAsia="楷体" w:cs="Times New Roman"/>
        </w:rPr>
        <w:t>（2024年）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广西壮族自治区生态环境厅</w:t>
      </w:r>
    </w:p>
    <w:p>
      <w:pPr>
        <w:ind w:firstLine="64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桂林市人民政府</w:t>
      </w:r>
    </w:p>
    <w:p>
      <w:pPr>
        <w:ind w:firstLine="64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2025年4月</w:t>
      </w:r>
    </w:p>
    <w:p>
      <w:pPr>
        <w:ind w:firstLine="640"/>
      </w:pPr>
    </w:p>
    <w:p>
      <w:pPr>
        <w:ind w:firstLine="64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ind w:firstLine="640"/>
        <w:rPr>
          <w:rFonts w:eastAsia="黑体" w:cs="黑体"/>
          <w:b/>
          <w:bCs/>
        </w:rPr>
      </w:pPr>
      <w:r>
        <w:rPr>
          <w:rFonts w:hint="eastAsia"/>
          <w:szCs w:val="32"/>
        </w:rPr>
        <w:t>为持续推进漓江生态环境保护，支撑服务打造桂林世界级旅游城市，根据《漓江生态环境质量指数测算办法（试行）》，对2024年漓江生态环境质量指数（以下简称“漓江指数”（LJEEQI））进行测算。</w:t>
      </w:r>
    </w:p>
    <w:p>
      <w:pPr>
        <w:ind w:firstLine="640"/>
        <w:rPr>
          <w:rFonts w:eastAsia="黑体" w:cs="黑体"/>
        </w:rPr>
      </w:pPr>
      <w:r>
        <w:rPr>
          <w:rFonts w:hint="eastAsia" w:eastAsia="黑体" w:cs="黑体"/>
        </w:rPr>
        <w:t>一、漓江指数内涵与适用范围</w:t>
      </w:r>
    </w:p>
    <w:p>
      <w:pPr>
        <w:ind w:firstLine="640"/>
        <w:rPr>
          <w:rFonts w:cs="仿宋"/>
        </w:rPr>
      </w:pPr>
      <w:r>
        <w:rPr>
          <w:rFonts w:hint="eastAsia" w:cs="仿宋"/>
        </w:rPr>
        <w:t>漓江指数是反映漓江生态环境质量状况的综合指标体系。包括生态质量、环境质量、生态环境友好、环境安全4个方面，由景观格局、生态功能等11个二级指标，生态用地面积比指数、植被覆盖度指数等28个三级指标构成。</w:t>
      </w:r>
    </w:p>
    <w:p>
      <w:pPr>
        <w:ind w:firstLine="640"/>
        <w:rPr>
          <w:rFonts w:cs="仿宋"/>
        </w:rPr>
      </w:pPr>
      <w:r>
        <w:rPr>
          <w:rFonts w:hint="eastAsia" w:cs="仿宋"/>
        </w:rPr>
        <w:t>漓江指数以自然年为测算周期，测算范围为桂林市行政范围内漓江干支流汇水区域。根据漓江指数值，将生态环境质量状况分为优、良、中、差4个等级（LJEEQI≥85，生态环境质量状况为优；75≤LJEEQI＜85，生态环境质量状况为良；65≤LJEEQI＜75，生态环境质量状况为中；LJEEQI＜65，生态环境质量状况为差）。</w:t>
      </w:r>
    </w:p>
    <w:p>
      <w:pPr>
        <w:ind w:firstLine="640"/>
        <w:rPr>
          <w:rFonts w:cs="黑体"/>
        </w:rPr>
      </w:pPr>
      <w:r>
        <w:rPr>
          <w:rFonts w:hint="eastAsia" w:eastAsia="黑体" w:cs="黑体"/>
        </w:rPr>
        <w:t>二、漓江指数</w:t>
      </w:r>
    </w:p>
    <w:p>
      <w:pPr>
        <w:ind w:firstLine="640"/>
        <w:rPr>
          <w:rFonts w:eastAsia="楷体" w:cs="Times New Roman"/>
        </w:rPr>
      </w:pPr>
      <w:bookmarkStart w:id="0" w:name="_Toc13181"/>
      <w:r>
        <w:rPr>
          <w:rFonts w:eastAsia="楷体" w:cs="Times New Roman"/>
        </w:rPr>
        <w:t>（一）2024年状况</w:t>
      </w:r>
    </w:p>
    <w:p>
      <w:pPr>
        <w:ind w:firstLine="640"/>
        <w:rPr>
          <w:rFonts w:cs="仿宋"/>
          <w:shd w:val="clear" w:color="auto" w:fill="FFFFFF" w:themeFill="background1"/>
        </w:rPr>
      </w:pPr>
      <w:r>
        <w:rPr>
          <w:rFonts w:hint="eastAsia" w:cs="仿宋"/>
        </w:rPr>
        <w:t>2024年漓江指数为86.82，生态环境质量状况保持为优，</w:t>
      </w:r>
      <w:r>
        <w:rPr>
          <w:rFonts w:hint="eastAsia" w:cs="仿宋"/>
          <w:shd w:val="clear" w:color="auto" w:fill="FFFFFF" w:themeFill="background1"/>
        </w:rPr>
        <w:t>生态环境质量变化评价结果为“基本稳定”。</w:t>
      </w:r>
      <w:bookmarkEnd w:id="0"/>
      <w:r>
        <w:rPr>
          <w:rFonts w:hint="eastAsia" w:cs="仿宋"/>
          <w:shd w:val="clear" w:color="auto" w:fill="FFFFFF" w:themeFill="background1"/>
        </w:rPr>
        <w:t>生态环境质量保持稳中向好态势，主要体现在以下方面：</w:t>
      </w:r>
    </w:p>
    <w:p>
      <w:pPr>
        <w:ind w:firstLine="640"/>
        <w:rPr>
          <w:rFonts w:cs="仿宋"/>
          <w:shd w:val="clear" w:color="auto" w:fill="FFFFFF" w:themeFill="background1"/>
        </w:rPr>
      </w:pPr>
      <w:r>
        <w:rPr>
          <w:rFonts w:hint="eastAsia" w:cs="仿宋"/>
          <w:shd w:val="clear" w:color="auto" w:fill="FFFFFF" w:themeFill="background1"/>
        </w:rPr>
        <w:t>生态质量方面，</w:t>
      </w:r>
      <w:r>
        <w:rPr>
          <w:rFonts w:hint="eastAsia" w:cs="仿宋"/>
          <w:shd w:val="clear" w:color="auto" w:fill="FFFFFF" w:themeFill="background1"/>
          <w:lang w:val="en-US" w:eastAsia="zh-CN"/>
        </w:rPr>
        <w:t>建成区</w:t>
      </w:r>
      <w:r>
        <w:rPr>
          <w:rFonts w:hint="eastAsia" w:cs="仿宋"/>
          <w:shd w:val="clear" w:color="auto" w:fill="FFFFFF" w:themeFill="background1"/>
          <w:lang w:eastAsia="zh-CN"/>
        </w:rPr>
        <w:t>公园</w:t>
      </w:r>
      <w:r>
        <w:rPr>
          <w:rFonts w:hint="eastAsia" w:cs="仿宋"/>
          <w:shd w:val="clear" w:color="auto" w:fill="FFFFFF" w:themeFill="background1"/>
        </w:rPr>
        <w:t>绿地可达指数从61.68升至62.27；</w:t>
      </w:r>
      <w:r>
        <w:rPr>
          <w:rFonts w:hint="eastAsia" w:cs="仿宋"/>
        </w:rPr>
        <w:t>生物多样性保护取得成效，国家重点保护动物在漓江流域有新分布记录。</w:t>
      </w:r>
      <w:r>
        <w:rPr>
          <w:rFonts w:hint="eastAsia" w:cs="仿宋"/>
          <w:shd w:val="clear" w:color="auto" w:fill="FFFFFF" w:themeFill="background1"/>
        </w:rPr>
        <w:t xml:space="preserve">  </w:t>
      </w:r>
    </w:p>
    <w:p>
      <w:pPr>
        <w:ind w:firstLine="640"/>
        <w:rPr>
          <w:rFonts w:cs="仿宋"/>
          <w:shd w:val="clear" w:color="auto" w:fill="FFFFFF" w:themeFill="background1"/>
        </w:rPr>
      </w:pPr>
      <w:r>
        <w:rPr>
          <w:rFonts w:hint="eastAsia" w:cs="仿宋"/>
          <w:shd w:val="clear" w:color="auto" w:fill="FFFFFF" w:themeFill="background1"/>
        </w:rPr>
        <w:t>环境质量方面，水质指数下降，流域地表水水质改善；地下水水质优良比例从25%升至40%；环境空气质量改善，细颗粒物浓度从25微克/立方米下降至23微克/立方米，浓度下降8%。</w:t>
      </w:r>
    </w:p>
    <w:p>
      <w:pPr>
        <w:ind w:firstLine="640"/>
        <w:rPr>
          <w:rFonts w:cs="仿宋"/>
          <w:shd w:val="clear" w:color="auto" w:fill="FFFFFF" w:themeFill="background1"/>
        </w:rPr>
      </w:pPr>
      <w:r>
        <w:rPr>
          <w:rFonts w:hint="eastAsia" w:cs="仿宋"/>
          <w:shd w:val="clear" w:color="auto" w:fill="FFFFFF" w:themeFill="background1"/>
        </w:rPr>
        <w:t>生态环境友好方面：农村生活污水治理率由49.11%升至50.23%，</w:t>
      </w:r>
      <w:r>
        <w:rPr>
          <w:rFonts w:hint="eastAsia" w:cs="仿宋"/>
          <w:shd w:val="clear" w:color="auto" w:fill="FFFFFF" w:themeFill="background1"/>
          <w:lang w:eastAsia="zh-CN"/>
        </w:rPr>
        <w:t>上</w:t>
      </w:r>
      <w:r>
        <w:rPr>
          <w:rFonts w:hint="eastAsia" w:cs="仿宋"/>
          <w:shd w:val="clear" w:color="auto" w:fill="FFFFFF" w:themeFill="background1"/>
        </w:rPr>
        <w:t>升1.12个百分点。</w:t>
      </w:r>
    </w:p>
    <w:p>
      <w:pPr>
        <w:ind w:firstLine="640"/>
        <w:rPr>
          <w:rFonts w:cs="仿宋"/>
          <w:shd w:val="clear" w:color="auto" w:fill="FFFFFF" w:themeFill="background1"/>
        </w:rPr>
      </w:pPr>
      <w:r>
        <w:rPr>
          <w:rFonts w:hint="eastAsia" w:cs="仿宋"/>
          <w:shd w:val="clear" w:color="auto" w:fill="FFFFFF" w:themeFill="background1"/>
        </w:rPr>
        <w:t>环境安全方面，农用地安全利用率由92.14%升至96.92%，</w:t>
      </w:r>
      <w:r>
        <w:rPr>
          <w:rFonts w:hint="eastAsia" w:cs="仿宋"/>
          <w:shd w:val="clear" w:color="auto" w:fill="FFFFFF" w:themeFill="background1"/>
          <w:lang w:eastAsia="zh-CN"/>
        </w:rPr>
        <w:t>上</w:t>
      </w:r>
      <w:r>
        <w:rPr>
          <w:rFonts w:hint="eastAsia" w:cs="仿宋"/>
          <w:shd w:val="clear" w:color="auto" w:fill="FFFFFF" w:themeFill="background1"/>
        </w:rPr>
        <w:t>升4.78个百分点。</w:t>
      </w:r>
    </w:p>
    <w:p>
      <w:pPr>
        <w:ind w:firstLine="640"/>
        <w:rPr>
          <w:rFonts w:eastAsia="楷体" w:cs="Times New Roman"/>
        </w:rPr>
      </w:pPr>
      <w:r>
        <w:rPr>
          <w:rFonts w:hint="eastAsia" w:eastAsia="楷体" w:cs="Times New Roman"/>
        </w:rPr>
        <w:t>（二）2021—2024年变化情况</w:t>
      </w:r>
    </w:p>
    <w:p>
      <w:pPr>
        <w:ind w:firstLine="640"/>
      </w:pPr>
      <w:bookmarkStart w:id="1" w:name="_GoBack"/>
      <w:bookmarkEnd w:id="1"/>
      <w:r>
        <w:rPr>
          <w:rFonts w:hint="eastAsia"/>
        </w:rPr>
        <w:t>生态质量方面，</w:t>
      </w:r>
      <w:r>
        <w:rPr>
          <w:rFonts w:hint="eastAsia"/>
          <w:lang w:eastAsia="zh-CN"/>
        </w:rPr>
        <w:t>建成区公园绿地可达指数上</w:t>
      </w:r>
      <w:r>
        <w:rPr>
          <w:rFonts w:hint="eastAsia"/>
        </w:rPr>
        <w:t>升，城市生活宜居程度进一步改善；生物多样性保护取得成效，国家重点保护动物在漓江流域有新分布记录。</w:t>
      </w:r>
    </w:p>
    <w:p>
      <w:pPr>
        <w:ind w:firstLine="640"/>
      </w:pPr>
      <w:r>
        <w:rPr>
          <w:rFonts w:hint="eastAsia"/>
        </w:rPr>
        <w:t>环境质量方面，空气质量持续向好，细颗粒物浓度、空气质量综合指数连续下降；水环境质量总体</w:t>
      </w:r>
      <w:r>
        <w:rPr>
          <w:rFonts w:hint="eastAsia"/>
          <w:lang w:eastAsia="zh-CN"/>
        </w:rPr>
        <w:t>保持稳定</w:t>
      </w:r>
      <w:r>
        <w:rPr>
          <w:rFonts w:hint="eastAsia"/>
        </w:rPr>
        <w:t>。</w:t>
      </w:r>
    </w:p>
    <w:p>
      <w:pPr>
        <w:ind w:firstLine="640"/>
      </w:pPr>
      <w:r>
        <w:rPr>
          <w:rFonts w:hint="eastAsia"/>
        </w:rPr>
        <w:t>生态环境友好方面，生态文明示范创建取得进展，荔浦市、阳朔县获得国家级生态文明示范区命名。流域农村生活污水治理率持续</w:t>
      </w:r>
      <w:r>
        <w:rPr>
          <w:rFonts w:hint="eastAsia"/>
          <w:lang w:eastAsia="zh-CN"/>
        </w:rPr>
        <w:t>上</w:t>
      </w:r>
      <w:r>
        <w:rPr>
          <w:rFonts w:hint="eastAsia"/>
        </w:rPr>
        <w:t>升，自然岸线恢复与保护工作取得积极进展。</w:t>
      </w:r>
    </w:p>
    <w:p>
      <w:pPr>
        <w:ind w:firstLine="640"/>
      </w:pPr>
      <w:r>
        <w:rPr>
          <w:rFonts w:hint="eastAsia"/>
        </w:rPr>
        <w:t>环境安全方面，连续</w:t>
      </w:r>
      <w:r>
        <w:t>4</w:t>
      </w:r>
      <w:r>
        <w:rPr>
          <w:rFonts w:hint="eastAsia"/>
        </w:rPr>
        <w:t>年未发生</w:t>
      </w:r>
      <w:r>
        <w:rPr>
          <w:rFonts w:hint="eastAsia"/>
          <w:lang w:eastAsia="zh-CN"/>
        </w:rPr>
        <w:t>较大</w:t>
      </w:r>
      <w:r>
        <w:rPr>
          <w:rFonts w:hint="eastAsia"/>
        </w:rPr>
        <w:t>等级以上的突发环境事件；一般固体废物和危险废物综合利用率总体上升，农用地安全利用率</w:t>
      </w:r>
      <w:r>
        <w:rPr>
          <w:rFonts w:hint="eastAsia"/>
          <w:lang w:eastAsia="zh-CN"/>
        </w:rPr>
        <w:t>上</w:t>
      </w:r>
      <w:r>
        <w:rPr>
          <w:rFonts w:hint="eastAsia"/>
        </w:rPr>
        <w:t>升。</w:t>
      </w:r>
    </w:p>
    <w:p>
      <w:pPr>
        <w:spacing w:line="240" w:lineRule="auto"/>
        <w:ind w:firstLine="0" w:firstLineChars="0"/>
        <w:jc w:val="center"/>
        <w:rPr>
          <w:rFonts w:eastAsia="黑体" w:cs="Times New Roman"/>
          <w:highlight w:val="yellow"/>
        </w:rPr>
      </w:pPr>
      <w:r>
        <w:drawing>
          <wp:inline distT="0" distB="0" distL="0" distR="0">
            <wp:extent cx="4826000" cy="2743200"/>
            <wp:effectExtent l="0" t="0" r="1270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tabs>
          <w:tab w:val="left" w:pos="1440"/>
        </w:tabs>
        <w:ind w:firstLine="56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 xml:space="preserve">图 </w:t>
      </w:r>
      <w:r>
        <w:rPr>
          <w:rFonts w:eastAsia="黑体"/>
          <w:sz w:val="28"/>
        </w:rPr>
        <w:t xml:space="preserve"> 2021</w:t>
      </w:r>
      <w:r>
        <w:rPr>
          <w:rFonts w:hint="eastAsia" w:eastAsia="黑体"/>
          <w:sz w:val="28"/>
          <w:szCs w:val="32"/>
        </w:rPr>
        <w:t>—</w:t>
      </w:r>
      <w:r>
        <w:rPr>
          <w:rFonts w:eastAsia="黑体"/>
          <w:sz w:val="28"/>
          <w:szCs w:val="32"/>
        </w:rPr>
        <w:t>2024年漓江指数变化情况</w:t>
      </w:r>
    </w:p>
    <w:p>
      <w:pPr>
        <w:ind w:firstLine="640"/>
      </w:pPr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-95J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56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5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ng2N3N1OHBpbW9kZThkdWc3emt3bTc8L2FjY291bnQ+PG1hY2hpbmVDb2RlPkxDVDg5NkowMTA5ODQKPC9tYWNoaW5lQ29kZT48dGltZT4yMDI1LTAzLTI2IDE5OjI2OjIxPC90aW1lPjxzeXN0ZW0+TUI8c3lzdGVtPjwvdHJhY2U+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B144A"/>
    <w:multiLevelType w:val="multilevel"/>
    <w:tmpl w:val="2A0B144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eastAsia="汉仪雅酷黑-95J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 w:ascii="汉仪雅酷黑-95J" w:hAnsi="汉仪雅酷黑-95J" w:eastAsia="汉仪雅酷黑-95J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 w:eastAsia="汉仪雅酷黑-95J"/>
      </w:rPr>
    </w:lvl>
    <w:lvl w:ilvl="3" w:tentative="0">
      <w:start w:val="1"/>
      <w:numFmt w:val="decimal"/>
      <w:suff w:val="nothing"/>
      <w:lvlText w:val="%4）"/>
      <w:lvlJc w:val="left"/>
      <w:pPr>
        <w:tabs>
          <w:tab w:val="left" w:pos="0"/>
        </w:tabs>
        <w:ind w:left="0" w:firstLine="402"/>
      </w:pPr>
      <w:rPr>
        <w:rFonts w:hint="eastAsia" w:ascii="汉仪雅酷黑-95J" w:hAnsi="汉仪雅酷黑-95J" w:eastAsia="汉仪雅酷黑-95J" w:cs="Times New Roman"/>
      </w:rPr>
    </w:lvl>
    <w:lvl w:ilvl="4" w:tentative="0">
      <w:start w:val="1"/>
      <w:numFmt w:val="lowerLetter"/>
      <w:suff w:val="nothing"/>
      <w:lvlText w:val="%5．"/>
      <w:lvlJc w:val="left"/>
      <w:pPr>
        <w:tabs>
          <w:tab w:val="left" w:pos="0"/>
        </w:tabs>
        <w:ind w:left="0" w:firstLine="402"/>
      </w:pPr>
      <w:rPr>
        <w:rFonts w:hint="eastAsia" w:eastAsia="汉仪雅酷黑-95J"/>
      </w:rPr>
    </w:lvl>
    <w:lvl w:ilvl="5" w:tentative="0">
      <w:start w:val="1"/>
      <w:numFmt w:val="lowerLetter"/>
      <w:suff w:val="nothing"/>
      <w:lvlText w:val="%6）"/>
      <w:lvlJc w:val="left"/>
      <w:pPr>
        <w:ind w:left="0" w:firstLine="402"/>
      </w:pPr>
      <w:rPr>
        <w:rFonts w:hint="eastAsia" w:eastAsia="汉仪雅酷黑-95J"/>
      </w:rPr>
    </w:lvl>
    <w:lvl w:ilvl="6" w:tentative="0">
      <w:start w:val="1"/>
      <w:numFmt w:val="lowerRoman"/>
      <w:suff w:val="nothing"/>
      <w:lvlText w:val="%7．"/>
      <w:lvlJc w:val="left"/>
      <w:pPr>
        <w:ind w:left="0" w:firstLine="402"/>
      </w:pPr>
      <w:rPr>
        <w:rFonts w:hint="eastAsia" w:eastAsia="汉仪雅酷黑-95J"/>
      </w:rPr>
    </w:lvl>
    <w:lvl w:ilvl="7" w:tentative="0">
      <w:start w:val="1"/>
      <w:numFmt w:val="lowerRoman"/>
      <w:suff w:val="nothing"/>
      <w:lvlText w:val="%8）"/>
      <w:lvlJc w:val="left"/>
      <w:pPr>
        <w:ind w:left="0" w:firstLine="402"/>
      </w:pPr>
      <w:rPr>
        <w:rFonts w:hint="eastAsia" w:eastAsia="汉仪雅酷黑-95J"/>
      </w:rPr>
    </w:lvl>
    <w:lvl w:ilvl="8" w:tentative="0">
      <w:start w:val="1"/>
      <w:numFmt w:val="decimalEnclosedCircleChinese"/>
      <w:suff w:val="nothing"/>
      <w:lvlText w:val="%9"/>
      <w:lvlJc w:val="left"/>
      <w:pPr>
        <w:ind w:left="0" w:firstLine="402"/>
      </w:pPr>
      <w:rPr>
        <w:rFonts w:hint="eastAsia" w:eastAsia="汉仪雅酷黑-95J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477245"/>
    <w:rsid w:val="3F7F66F0"/>
    <w:rsid w:val="542553C5"/>
    <w:rsid w:val="6CCE7ABF"/>
    <w:rsid w:val="71CD2D85"/>
    <w:rsid w:val="77DF5BC5"/>
    <w:rsid w:val="7BF7B1B8"/>
    <w:rsid w:val="BFB7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0" w:line="600" w:lineRule="exact"/>
      <w:ind w:firstLine="48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pacing w:line="700" w:lineRule="exact"/>
      <w:jc w:val="center"/>
      <w:outlineLvl w:val="0"/>
    </w:pPr>
    <w:rPr>
      <w:rFonts w:eastAsia="黑体"/>
      <w:kern w:val="44"/>
      <w:szCs w:val="18"/>
    </w:rPr>
  </w:style>
  <w:style w:type="paragraph" w:styleId="3">
    <w:name w:val="heading 2"/>
    <w:next w:val="1"/>
    <w:link w:val="14"/>
    <w:semiHidden/>
    <w:unhideWhenUsed/>
    <w:qFormat/>
    <w:uiPriority w:val="0"/>
    <w:pPr>
      <w:numPr>
        <w:ilvl w:val="1"/>
        <w:numId w:val="1"/>
      </w:numPr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adjustRightInd w:val="0"/>
      <w:snapToGrid w:val="0"/>
      <w:spacing w:after="200" w:line="600" w:lineRule="exact"/>
      <w:ind w:firstLine="640" w:firstLineChars="200"/>
      <w:outlineLvl w:val="1"/>
    </w:pPr>
    <w:rPr>
      <w:rFonts w:ascii="Times New Roman" w:hAnsi="Times New Roman" w:eastAsia="楷体" w:cstheme="minorBidi"/>
      <w:bCs/>
      <w:kern w:val="2"/>
      <w:sz w:val="32"/>
      <w:szCs w:val="21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ind w:firstLine="1040"/>
      <w:outlineLvl w:val="2"/>
    </w:pPr>
    <w:rPr>
      <w:rFonts w:asciiTheme="minorHAnsi" w:hAnsiTheme="minorHAnsi"/>
      <w:b/>
      <w:bCs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ind w:firstLine="1040"/>
      <w:outlineLvl w:val="3"/>
    </w:pPr>
    <w:rPr>
      <w:rFonts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18"/>
    <w:qFormat/>
    <w:uiPriority w:val="0"/>
    <w:pPr>
      <w:spacing w:after="120"/>
    </w:pPr>
    <w:rPr>
      <w:rFonts w:asciiTheme="minorHAnsi" w:hAnsiTheme="minorHAnsi"/>
      <w:szCs w:val="22"/>
    </w:rPr>
  </w:style>
  <w:style w:type="paragraph" w:styleId="8">
    <w:name w:val="Plain Text"/>
    <w:basedOn w:val="1"/>
    <w:qFormat/>
    <w:uiPriority w:val="0"/>
    <w:rPr>
      <w:szCs w:val="20"/>
    </w:rPr>
  </w:style>
  <w:style w:type="paragraph" w:styleId="9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14">
    <w:name w:val="标题 2 字符"/>
    <w:basedOn w:val="13"/>
    <w:link w:val="3"/>
    <w:qFormat/>
    <w:uiPriority w:val="0"/>
    <w:rPr>
      <w:rFonts w:eastAsia="楷体" w:asciiTheme="majorHAnsi" w:hAnsiTheme="majorHAnsi" w:cstheme="majorBidi"/>
      <w:bCs/>
      <w:sz w:val="30"/>
      <w:szCs w:val="32"/>
    </w:rPr>
  </w:style>
  <w:style w:type="paragraph" w:customStyle="1" w:styleId="15">
    <w:name w:val="样式1"/>
    <w:basedOn w:val="1"/>
    <w:qFormat/>
    <w:uiPriority w:val="0"/>
    <w:rPr>
      <w:rFonts w:hint="eastAsia" w:ascii="楷体" w:hAnsi="楷体" w:eastAsia="楷体" w:cs="楷体"/>
      <w:sz w:val="28"/>
      <w:szCs w:val="28"/>
    </w:rPr>
  </w:style>
  <w:style w:type="character" w:customStyle="1" w:styleId="16">
    <w:name w:val="标题 1 字符"/>
    <w:basedOn w:val="13"/>
    <w:link w:val="2"/>
    <w:qFormat/>
    <w:uiPriority w:val="0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7">
    <w:name w:val="标题 3 字符"/>
    <w:basedOn w:val="13"/>
    <w:link w:val="4"/>
    <w:qFormat/>
    <w:uiPriority w:val="9"/>
    <w:rPr>
      <w:rFonts w:eastAsia="仿宋" w:asciiTheme="minorHAnsi" w:hAnsiTheme="minorHAnsi" w:cstheme="minorBidi"/>
      <w:b/>
      <w:bCs/>
      <w:kern w:val="2"/>
      <w:sz w:val="32"/>
      <w:szCs w:val="32"/>
    </w:rPr>
  </w:style>
  <w:style w:type="character" w:customStyle="1" w:styleId="18">
    <w:name w:val="正文文本 字符"/>
    <w:basedOn w:val="13"/>
    <w:link w:val="7"/>
    <w:semiHidden/>
    <w:qFormat/>
    <w:uiPriority w:val="99"/>
    <w:rPr>
      <w:rFonts w:eastAsia="仿宋" w:asciiTheme="minorHAnsi" w:hAnsiTheme="minorHAnsi"/>
      <w:sz w:val="32"/>
      <w:szCs w:val="22"/>
    </w:rPr>
  </w:style>
  <w:style w:type="paragraph" w:customStyle="1" w:styleId="19">
    <w:name w:val="正文1"/>
    <w:next w:val="1"/>
    <w:qFormat/>
    <w:uiPriority w:val="0"/>
    <w:pPr>
      <w:widowControl w:val="0"/>
      <w:spacing w:after="200" w:line="500" w:lineRule="exact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paragraph" w:customStyle="1" w:styleId="20">
    <w:name w:val="正文 网络"/>
    <w:basedOn w:val="1"/>
    <w:link w:val="21"/>
    <w:qFormat/>
    <w:uiPriority w:val="0"/>
    <w:pPr>
      <w:spacing w:line="500" w:lineRule="exact"/>
      <w:ind w:firstLine="560"/>
    </w:pPr>
    <w:rPr>
      <w:rFonts w:cs="Times New Roman"/>
      <w:color w:val="000000"/>
      <w:sz w:val="28"/>
      <w:szCs w:val="28"/>
    </w:rPr>
  </w:style>
  <w:style w:type="character" w:customStyle="1" w:styleId="21">
    <w:name w:val="样式3 Char"/>
    <w:basedOn w:val="13"/>
    <w:link w:val="20"/>
    <w:qFormat/>
    <w:uiPriority w:val="0"/>
    <w:rPr>
      <w:rFonts w:ascii="Times New Roman" w:hAnsi="Times New Roman" w:eastAsia="仿宋" w:cs="Times New Roman"/>
      <w:color w:val="000000"/>
      <w:sz w:val="28"/>
      <w:szCs w:val="28"/>
    </w:rPr>
  </w:style>
  <w:style w:type="character" w:customStyle="1" w:styleId="22">
    <w:name w:val="标题 4 字符"/>
    <w:basedOn w:val="13"/>
    <w:link w:val="5"/>
    <w:qFormat/>
    <w:uiPriority w:val="9"/>
    <w:rPr>
      <w:rFonts w:ascii="Times New Roman" w:hAnsi="Times New Roman" w:eastAsia="仿宋" w:cstheme="majorBidi"/>
      <w:b/>
      <w:bCs/>
      <w:kern w:val="2"/>
      <w:sz w:val="28"/>
      <w:szCs w:val="28"/>
    </w:rPr>
  </w:style>
  <w:style w:type="character" w:customStyle="1" w:styleId="23">
    <w:name w:val="批注框文本 字符"/>
    <w:basedOn w:val="13"/>
    <w:link w:val="9"/>
    <w:qFormat/>
    <w:uiPriority w:val="0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漓江</a:t>
            </a:r>
            <a:r>
              <a:rPr lang="zh-CN" altLang="en-US" b="0">
                <a:solidFill>
                  <a:schemeClr val="tx1">
                    <a:lumMod val="75000"/>
                    <a:lumOff val="25000"/>
                  </a:schemeClr>
                </a:solidFill>
                <a:latin typeface="黑体" panose="02010609060101010101" charset="-122"/>
                <a:ea typeface="黑体" panose="02010609060101010101" charset="-122"/>
              </a:rPr>
              <a:t>指数</a:t>
            </a:r>
            <a:endParaRPr lang="zh-CN" altLang="en-US" b="0">
              <a:solidFill>
                <a:schemeClr val="tx1">
                  <a:lumMod val="75000"/>
                  <a:lumOff val="25000"/>
                </a:schemeClr>
              </a:solidFill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false"/>
      <c:spPr>
        <a:noFill/>
        <a:ln>
          <a:noFill/>
        </a:ln>
      </c:spPr>
    </c:title>
    <c:autoTitleDeleted val="false"/>
    <c:plotArea>
      <c:layout>
        <c:manualLayout>
          <c:layoutTarget val="inner"/>
          <c:xMode val="edge"/>
          <c:yMode val="edge"/>
          <c:x val="0.105282842934107"/>
          <c:y val="0.149074074074074"/>
          <c:w val="0.86576978864484"/>
          <c:h val="0.733148148148148"/>
        </c:manualLayout>
      </c:layout>
      <c:barChart>
        <c:barDir val="col"/>
        <c:grouping val="clustered"/>
        <c:varyColors val="false"/>
        <c:ser>
          <c:idx val="0"/>
          <c:order val="0"/>
          <c:tx>
            <c:strRef>
              <c:f>[工作簿1]Sheet1!$B$3</c:f>
              <c:strCache>
                <c:ptCount val="1"/>
                <c:pt idx="0">
                  <c:v>LJEEQI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cap="none" spc="0" normalizeH="0" baseline="0">
                    <a:solidFill>
                      <a:sysClr val="windowText" lastClr="000000"/>
                    </a:solidFill>
                    <a:latin typeface="Times New Roman" charset="0"/>
                    <a:ea typeface="仿宋" panose="02010609060101010101" pitchFamily="3" charset="-122"/>
                    <a:cs typeface="+mn-cs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{"2021年","2022年","2023年","2024年"}</c:f>
              <c:strCache>
                <c:ptCount val="4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</c:strCache>
            </c:strRef>
          </c:cat>
          <c:val>
            <c:numRef>
              <c:f>{85.86,86.45,86.55,86.82}</c:f>
              <c:numCache>
                <c:formatCode>General</c:formatCode>
                <c:ptCount val="4"/>
                <c:pt idx="0">
                  <c:v>85.86</c:v>
                </c:pt>
                <c:pt idx="1">
                  <c:v>86.45</c:v>
                </c:pt>
                <c:pt idx="2">
                  <c:v>86.55</c:v>
                </c:pt>
                <c:pt idx="3">
                  <c:v>86.82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46"/>
        <c:overlap val="-28"/>
        <c:axId val="373725330"/>
        <c:axId val="987940248"/>
      </c:barChart>
      <c:catAx>
        <c:axId val="373725330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chemeClr val="bg2"/>
            </a:solidFill>
            <a:prstDash val="solid"/>
            <a:round/>
          </a:ln>
        </c:spPr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charset="0"/>
                <a:ea typeface="仿宋" panose="02010609060101010101" pitchFamily="3" charset="-122"/>
                <a:cs typeface="+mn-cs"/>
              </a:defRPr>
            </a:pPr>
          </a:p>
        </c:txPr>
        <c:crossAx val="987940248"/>
        <c:crosses val="autoZero"/>
        <c:auto val="true"/>
        <c:lblAlgn val="ctr"/>
        <c:lblOffset val="100"/>
        <c:noMultiLvlLbl val="false"/>
      </c:catAx>
      <c:valAx>
        <c:axId val="987940248"/>
        <c:scaling>
          <c:orientation val="minMax"/>
          <c:max val="90"/>
          <c:min val="80"/>
        </c:scaling>
        <c:delete val="false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prstDash val="dash"/>
              <a:round/>
            </a:ln>
          </c:spPr>
        </c:majorGridlines>
        <c:numFmt formatCode="#,##0.00_);[Red]\(#,##0.00\)" sourceLinked="false"/>
        <c:majorTickMark val="none"/>
        <c:minorTickMark val="none"/>
        <c:tickLblPos val="nextTo"/>
        <c:spPr>
          <a:solidFill>
            <a:schemeClr val="bg1"/>
          </a:solidFill>
          <a:ln w="12700" cap="flat" cmpd="sng" algn="ctr">
            <a:solidFill>
              <a:schemeClr val="bg2"/>
            </a:solidFill>
            <a:prstDash val="solid"/>
            <a:round/>
          </a:ln>
        </c:spPr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+mn-cs"/>
              </a:defRPr>
            </a:pPr>
          </a:p>
        </c:txPr>
        <c:crossAx val="373725330"/>
        <c:crosses val="autoZero"/>
        <c:crossBetween val="between"/>
        <c:majorUnit val="2"/>
      </c:valAx>
      <c:spPr>
        <a:noFill/>
        <a:ln>
          <a:noFill/>
        </a:ln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lt1">
          <a:lumMod val="902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968</Words>
  <Characters>1093</Characters>
  <Lines>8</Lines>
  <Paragraphs>2</Paragraphs>
  <TotalTime>0</TotalTime>
  <ScaleCrop>false</ScaleCrop>
  <LinksUpToDate>false</LinksUpToDate>
  <CharactersWithSpaces>1097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2025-03-07T01:57:00Z</dcterms:created>
  <dc:creator>悠扬</dc:creator>
  <cp:lastModifiedBy>黄彦明</cp:lastModifiedBy>
  <dcterms:modified xsi:type="dcterms:W3CDTF">2025-04-23T20:25:28Z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5836366701C04AA1A46E23D819C11BCA_13</vt:lpwstr>
  </property>
  <property fmtid="{D5CDD505-2E9C-101B-9397-08002B2CF9AE}" pid="3" name="KSOProductBuildVer">
    <vt:lpwstr>2052-11.8.2.10489</vt:lpwstr>
  </property>
  <property fmtid="{D5CDD505-2E9C-101B-9397-08002B2CF9AE}" pid="4" name="KSOTemplateDocerSaveRecord">
    <vt:lpwstr>eyJoZGlkIjoiODY5NzY1ZWMyZWQzM2Y2YWI2ZjJiYjRlMGU0MWJmYzYiLCJ1c2VySWQiOiI3NTQ2NTA2MzgifQ==</vt:lpwstr>
  </property>
</Properties>
</file>