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adjustRightInd w:val="0"/>
        <w:snapToGrid w:val="0"/>
        <w:spacing w:line="480" w:lineRule="auto"/>
        <w:ind w:firstLine="0" w:firstLineChars="0"/>
        <w:rPr>
          <w:rFonts w:ascii="Times New Roman" w:hAnsi="Times New Roman" w:cs="Times New Roman"/>
          <w:b/>
          <w:sz w:val="32"/>
          <w:szCs w:val="32"/>
        </w:rPr>
      </w:pPr>
    </w:p>
    <w:p>
      <w:pPr>
        <w:pStyle w:val="22"/>
        <w:adjustRightInd w:val="0"/>
        <w:snapToGrid w:val="0"/>
        <w:spacing w:line="480" w:lineRule="auto"/>
        <w:ind w:firstLine="0" w:firstLineChars="0"/>
        <w:jc w:val="center"/>
        <w:rPr>
          <w:rFonts w:ascii="Times New Roman" w:hAnsi="Times New Roman" w:cs="Times New Roman"/>
          <w:b/>
          <w:sz w:val="52"/>
          <w:szCs w:val="52"/>
        </w:rPr>
      </w:pPr>
    </w:p>
    <w:p>
      <w:pPr>
        <w:pStyle w:val="22"/>
        <w:adjustRightInd w:val="0"/>
        <w:snapToGrid w:val="0"/>
        <w:ind w:left="0" w:firstLine="0" w:firstLineChars="0"/>
        <w:jc w:val="center"/>
        <w:rPr>
          <w:rFonts w:ascii="Times New Roman" w:hAnsi="Times New Roman" w:eastAsia="黑体" w:cs="Times New Roman"/>
          <w:b/>
          <w:sz w:val="48"/>
          <w:szCs w:val="44"/>
        </w:rPr>
      </w:pPr>
      <w:r>
        <w:rPr>
          <w:rFonts w:hint="eastAsia" w:ascii="Times New Roman" w:hAnsi="Times New Roman" w:eastAsia="黑体" w:cs="Times New Roman"/>
          <w:b/>
          <w:sz w:val="48"/>
          <w:szCs w:val="44"/>
        </w:rPr>
        <w:t>桂林市循环经济发展“十三五”规划</w:t>
      </w:r>
    </w:p>
    <w:p>
      <w:pPr>
        <w:pStyle w:val="22"/>
        <w:adjustRightInd w:val="0"/>
        <w:snapToGrid w:val="0"/>
        <w:spacing w:line="480" w:lineRule="auto"/>
        <w:ind w:left="0" w:firstLine="0" w:firstLineChars="0"/>
        <w:jc w:val="center"/>
        <w:rPr>
          <w:rFonts w:ascii="Times New Roman" w:hAnsi="Times New Roman" w:cs="Times New Roman"/>
          <w:b/>
          <w:sz w:val="48"/>
          <w:szCs w:val="44"/>
        </w:rPr>
      </w:pPr>
      <w:r>
        <w:rPr>
          <w:rFonts w:hint="eastAsia" w:ascii="Times New Roman" w:hAnsi="Times New Roman" w:cs="Times New Roman"/>
          <w:b/>
          <w:sz w:val="48"/>
          <w:szCs w:val="44"/>
        </w:rPr>
        <w:t>（报批稿）</w:t>
      </w:r>
    </w:p>
    <w:p>
      <w:pPr>
        <w:pStyle w:val="22"/>
        <w:ind w:firstLine="0" w:firstLineChars="0"/>
        <w:rPr>
          <w:rFonts w:ascii="Times New Roman" w:hAnsi="Times New Roman"/>
          <w:sz w:val="32"/>
          <w:szCs w:val="32"/>
        </w:rPr>
      </w:pPr>
    </w:p>
    <w:p>
      <w:pPr>
        <w:pStyle w:val="22"/>
        <w:ind w:firstLine="0" w:firstLineChars="0"/>
        <w:rPr>
          <w:rFonts w:ascii="Times New Roman" w:hAnsi="Times New Roman"/>
          <w:sz w:val="32"/>
          <w:szCs w:val="32"/>
        </w:rPr>
      </w:pPr>
    </w:p>
    <w:p>
      <w:pPr>
        <w:pStyle w:val="22"/>
        <w:ind w:firstLine="0" w:firstLineChars="0"/>
        <w:rPr>
          <w:rFonts w:ascii="Times New Roman" w:hAnsi="Times New Roman"/>
          <w:sz w:val="32"/>
          <w:szCs w:val="32"/>
        </w:rPr>
      </w:pPr>
    </w:p>
    <w:p>
      <w:pPr>
        <w:ind w:firstLine="560"/>
      </w:pPr>
    </w:p>
    <w:p>
      <w:pPr>
        <w:ind w:firstLine="560"/>
      </w:pPr>
    </w:p>
    <w:p>
      <w:pPr>
        <w:ind w:firstLine="560"/>
      </w:pPr>
    </w:p>
    <w:p>
      <w:pPr>
        <w:pStyle w:val="22"/>
        <w:ind w:firstLine="0" w:firstLineChars="0"/>
        <w:rPr>
          <w:rFonts w:ascii="Times New Roman" w:hAnsi="Times New Roman"/>
          <w:sz w:val="32"/>
          <w:szCs w:val="32"/>
        </w:rPr>
      </w:pPr>
    </w:p>
    <w:p>
      <w:pPr>
        <w:pStyle w:val="22"/>
        <w:ind w:firstLine="0" w:firstLineChars="0"/>
        <w:jc w:val="center"/>
        <w:rPr>
          <w:rFonts w:ascii="Times New Roman" w:hAnsi="Times New Roman"/>
        </w:rPr>
      </w:pPr>
    </w:p>
    <w:p>
      <w:pPr>
        <w:ind w:firstLine="560"/>
      </w:pPr>
    </w:p>
    <w:p>
      <w:pPr>
        <w:ind w:firstLine="560"/>
      </w:pPr>
    </w:p>
    <w:p>
      <w:pPr>
        <w:ind w:firstLine="560"/>
      </w:pPr>
    </w:p>
    <w:p>
      <w:pPr>
        <w:pStyle w:val="22"/>
        <w:ind w:firstLine="0" w:firstLineChars="0"/>
        <w:jc w:val="center"/>
        <w:rPr>
          <w:rFonts w:ascii="Times New Roman" w:hAnsi="Times New Roman"/>
        </w:rPr>
      </w:pPr>
    </w:p>
    <w:p>
      <w:pPr>
        <w:pStyle w:val="22"/>
        <w:spacing w:line="600" w:lineRule="auto"/>
        <w:ind w:firstLine="0" w:firstLineChars="0"/>
        <w:jc w:val="center"/>
        <w:rPr>
          <w:rFonts w:ascii="Times New Roman" w:hAnsi="Times New Roman" w:cs="黑体"/>
          <w:b/>
          <w:bCs/>
          <w:sz w:val="28"/>
          <w:szCs w:val="32"/>
        </w:rPr>
      </w:pPr>
      <w:r>
        <w:rPr>
          <w:rFonts w:hint="eastAsia" w:ascii="Times New Roman" w:hAnsi="Times New Roman" w:cs="黑体"/>
          <w:b/>
          <w:bCs/>
          <w:sz w:val="28"/>
          <w:szCs w:val="32"/>
        </w:rPr>
        <w:t>桂林市发展和改革委员会</w:t>
      </w:r>
    </w:p>
    <w:p>
      <w:pPr>
        <w:pStyle w:val="22"/>
        <w:spacing w:line="600" w:lineRule="auto"/>
        <w:ind w:firstLine="0" w:firstLineChars="0"/>
        <w:jc w:val="center"/>
        <w:rPr>
          <w:rFonts w:ascii="Times New Roman" w:hAnsi="Times New Roman"/>
        </w:rPr>
      </w:pPr>
      <w:r>
        <w:rPr>
          <w:rFonts w:hint="eastAsia" w:ascii="Times New Roman" w:hAnsi="Times New Roman" w:cs="黑体"/>
          <w:b/>
          <w:bCs/>
          <w:sz w:val="28"/>
          <w:szCs w:val="32"/>
        </w:rPr>
        <w:t>二〇一六年十二月</w:t>
      </w:r>
    </w:p>
    <w:p>
      <w:pPr>
        <w:pStyle w:val="22"/>
        <w:adjustRightInd w:val="0"/>
        <w:snapToGrid w:val="0"/>
        <w:spacing w:line="480" w:lineRule="auto"/>
        <w:ind w:left="0" w:firstLine="0" w:firstLineChars="0"/>
        <w:jc w:val="center"/>
        <w:rPr>
          <w:rFonts w:ascii="Times New Roman" w:hAnsi="Times New Roman" w:cs="Times New Roman"/>
          <w:b/>
          <w:sz w:val="48"/>
          <w:szCs w:val="44"/>
        </w:rPr>
      </w:pPr>
    </w:p>
    <w:p>
      <w:pPr>
        <w:pStyle w:val="22"/>
        <w:ind w:firstLine="0" w:firstLineChars="0"/>
        <w:jc w:val="center"/>
        <w:rPr>
          <w:rFonts w:ascii="Times New Roman" w:hAnsi="Times New Roman" w:eastAsia="黑体"/>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pPr>
        <w:spacing w:beforeLines="50" w:afterLines="50"/>
        <w:ind w:firstLine="0" w:firstLineChars="0"/>
        <w:jc w:val="center"/>
        <w:rPr>
          <w:rFonts w:eastAsia="黑体"/>
          <w:b/>
          <w:sz w:val="36"/>
          <w:szCs w:val="36"/>
        </w:rPr>
      </w:pPr>
      <w:r>
        <w:rPr>
          <w:rFonts w:hint="eastAsia" w:eastAsia="黑体"/>
          <w:b/>
          <w:sz w:val="36"/>
          <w:szCs w:val="36"/>
        </w:rPr>
        <w:t>目 录</w:t>
      </w:r>
    </w:p>
    <w:p>
      <w:pPr>
        <w:pStyle w:val="21"/>
        <w:tabs>
          <w:tab w:val="right" w:leader="dot" w:pos="8306"/>
        </w:tabs>
        <w:spacing w:before="0" w:after="0"/>
        <w:ind w:firstLine="0" w:firstLineChars="0"/>
        <w:rPr>
          <w:rFonts w:ascii="Times New Roman" w:hAnsi="Times New Roman"/>
          <w:sz w:val="28"/>
          <w:szCs w:val="28"/>
        </w:rPr>
      </w:pPr>
      <w:r>
        <w:rPr>
          <w:rFonts w:ascii="Times New Roman" w:hAnsi="Times New Roman" w:eastAsia="黑体"/>
          <w:b w:val="0"/>
          <w:bCs w:val="0"/>
          <w:caps w:val="0"/>
          <w:sz w:val="28"/>
          <w:szCs w:val="44"/>
        </w:rPr>
        <w:fldChar w:fldCharType="begin"/>
      </w:r>
      <w:r>
        <w:rPr>
          <w:rFonts w:ascii="Times New Roman" w:hAnsi="Times New Roman" w:eastAsia="黑体"/>
          <w:b w:val="0"/>
          <w:bCs w:val="0"/>
          <w:caps w:val="0"/>
          <w:sz w:val="28"/>
          <w:szCs w:val="44"/>
        </w:rPr>
        <w:instrText xml:space="preserve"> TOC \o "1-2" \h \z \u </w:instrText>
      </w:r>
      <w:r>
        <w:rPr>
          <w:rFonts w:ascii="Times New Roman" w:hAnsi="Times New Roman" w:eastAsia="黑体"/>
          <w:b w:val="0"/>
          <w:bCs w:val="0"/>
          <w:caps w:val="0"/>
          <w:sz w:val="28"/>
          <w:szCs w:val="44"/>
        </w:rPr>
        <w:fldChar w:fldCharType="separate"/>
      </w:r>
      <w:r>
        <w:fldChar w:fldCharType="begin"/>
      </w:r>
      <w:r>
        <w:instrText xml:space="preserve"> HYPERLINK \l "_Toc20897" </w:instrText>
      </w:r>
      <w:r>
        <w:fldChar w:fldCharType="separate"/>
      </w:r>
      <w:r>
        <w:rPr>
          <w:rFonts w:hint="eastAsia" w:ascii="Times New Roman" w:hAnsi="Times New Roman"/>
          <w:sz w:val="28"/>
          <w:szCs w:val="28"/>
        </w:rPr>
        <w:t>前  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_Toc20897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"_Toc3426" </w:instrText>
      </w:r>
      <w:r>
        <w:fldChar w:fldCharType="separate"/>
      </w:r>
      <w:r>
        <w:rPr>
          <w:rFonts w:hint="eastAsia" w:ascii="Times New Roman" w:hAnsi="Times New Roman"/>
          <w:sz w:val="28"/>
          <w:szCs w:val="48"/>
        </w:rPr>
        <w:t>第一章 发展基础与环境分析</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_Toc3426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"_Toc15329" </w:instrText>
      </w:r>
      <w:r>
        <w:fldChar w:fldCharType="separate"/>
      </w:r>
      <w:r>
        <w:rPr>
          <w:rFonts w:hint="eastAsia" w:ascii="Times New Roman" w:hAnsi="Times New Roman"/>
          <w:sz w:val="28"/>
          <w:szCs w:val="28"/>
        </w:rPr>
        <w:t>第一节 发展基础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_Toc15329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"_Toc1551" </w:instrText>
      </w:r>
      <w:r>
        <w:fldChar w:fldCharType="separate"/>
      </w:r>
      <w:r>
        <w:rPr>
          <w:rFonts w:hint="eastAsia" w:ascii="Times New Roman" w:hAnsi="Times New Roman"/>
          <w:sz w:val="28"/>
          <w:szCs w:val="28"/>
        </w:rPr>
        <w:t>第二节 发展环境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_Toc1551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"_Toc30133" </w:instrText>
      </w:r>
      <w:r>
        <w:fldChar w:fldCharType="separate"/>
      </w:r>
      <w:r>
        <w:rPr>
          <w:rFonts w:hint="eastAsia" w:ascii="Times New Roman" w:hAnsi="Times New Roman"/>
          <w:sz w:val="28"/>
          <w:szCs w:val="28"/>
        </w:rPr>
        <w:t>第二章 总体思路与发展目标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_Toc30133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"_Toc3743" </w:instrText>
      </w:r>
      <w:r>
        <w:fldChar w:fldCharType="separate"/>
      </w:r>
      <w:r>
        <w:rPr>
          <w:rFonts w:hint="eastAsia" w:ascii="Times New Roman" w:hAnsi="Times New Roman"/>
          <w:sz w:val="28"/>
          <w:szCs w:val="28"/>
        </w:rPr>
        <w:t>第一节 指导思想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_Toc3743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"_Toc21762" </w:instrText>
      </w:r>
      <w:r>
        <w:fldChar w:fldCharType="separate"/>
      </w:r>
      <w:r>
        <w:rPr>
          <w:rFonts w:hint="eastAsia" w:ascii="Times New Roman" w:hAnsi="Times New Roman"/>
          <w:sz w:val="28"/>
          <w:szCs w:val="28"/>
        </w:rPr>
        <w:t>第二节 基本原则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_Toc21762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"_Toc13415" </w:instrText>
      </w:r>
      <w:r>
        <w:fldChar w:fldCharType="separate"/>
      </w:r>
      <w:r>
        <w:rPr>
          <w:rFonts w:hint="eastAsia" w:ascii="Times New Roman" w:hAnsi="Times New Roman"/>
          <w:sz w:val="28"/>
          <w:szCs w:val="28"/>
        </w:rPr>
        <w:t>第三节 发展目标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_Toc13415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"_Toc3262" </w:instrText>
      </w:r>
      <w:r>
        <w:fldChar w:fldCharType="separate"/>
      </w:r>
      <w:r>
        <w:rPr>
          <w:rFonts w:hint="eastAsia" w:ascii="Times New Roman" w:hAnsi="Times New Roman"/>
          <w:sz w:val="28"/>
          <w:szCs w:val="28"/>
        </w:rPr>
        <w:t>第三章 推动产业转型升级，促进低碳循环发展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_Toc3262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"_Toc13718" </w:instrText>
      </w:r>
      <w:r>
        <w:fldChar w:fldCharType="separate"/>
      </w:r>
      <w:r>
        <w:rPr>
          <w:rFonts w:hint="eastAsia" w:ascii="Times New Roman" w:hAnsi="Times New Roman"/>
          <w:sz w:val="28"/>
          <w:szCs w:val="28"/>
        </w:rPr>
        <w:t>第一节 构建农业循环经济体系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_Toc13718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"_Toc9512" </w:instrText>
      </w:r>
      <w:r>
        <w:fldChar w:fldCharType="separate"/>
      </w:r>
      <w:r>
        <w:rPr>
          <w:rFonts w:hint="eastAsia" w:ascii="Times New Roman" w:hAnsi="Times New Roman"/>
          <w:sz w:val="28"/>
          <w:szCs w:val="28"/>
        </w:rPr>
        <w:t>第二节 打造工业循环经济体系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_Toc9512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"_Toc22799" </w:instrText>
      </w:r>
      <w:r>
        <w:fldChar w:fldCharType="separate"/>
      </w:r>
      <w:r>
        <w:rPr>
          <w:rFonts w:hint="eastAsia" w:ascii="Times New Roman" w:hAnsi="Times New Roman"/>
          <w:sz w:val="28"/>
          <w:szCs w:val="28"/>
        </w:rPr>
        <w:t>第三节 建设服务业循环经济体系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_Toc22799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"_Toc12977" </w:instrText>
      </w:r>
      <w:r>
        <w:fldChar w:fldCharType="separate"/>
      </w:r>
      <w:r>
        <w:rPr>
          <w:rFonts w:hint="eastAsia" w:ascii="Times New Roman" w:hAnsi="Times New Roman"/>
          <w:sz w:val="28"/>
          <w:szCs w:val="28"/>
        </w:rPr>
        <w:t>第四章 循环高效利用资源，构建生态宜居城市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_Toc12977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"_Toc3639" </w:instrText>
      </w:r>
      <w:r>
        <w:fldChar w:fldCharType="separate"/>
      </w:r>
      <w:r>
        <w:rPr>
          <w:rFonts w:hint="eastAsia" w:ascii="Times New Roman" w:hAnsi="Times New Roman"/>
          <w:sz w:val="28"/>
          <w:szCs w:val="28"/>
        </w:rPr>
        <w:t>第一节 循环高效利用资源</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_Toc3639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"_Toc10519" </w:instrText>
      </w:r>
      <w:r>
        <w:fldChar w:fldCharType="separate"/>
      </w:r>
      <w:r>
        <w:rPr>
          <w:rFonts w:hint="eastAsia" w:ascii="Times New Roman" w:hAnsi="Times New Roman"/>
          <w:sz w:val="28"/>
          <w:szCs w:val="28"/>
        </w:rPr>
        <w:t>第二节 建设生态人居体系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_Toc10519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"_Toc23567" </w:instrText>
      </w:r>
      <w:r>
        <w:fldChar w:fldCharType="separate"/>
      </w:r>
      <w:r>
        <w:rPr>
          <w:rFonts w:hint="eastAsia" w:ascii="Times New Roman" w:hAnsi="Times New Roman"/>
          <w:sz w:val="28"/>
          <w:szCs w:val="28"/>
        </w:rPr>
        <w:t>第五章 重点任务</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_Toc23567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"_Toc21645" </w:instrText>
      </w:r>
      <w:r>
        <w:fldChar w:fldCharType="separate"/>
      </w:r>
      <w:r>
        <w:rPr>
          <w:rFonts w:hint="eastAsia" w:ascii="Times New Roman" w:hAnsi="Times New Roman"/>
          <w:sz w:val="28"/>
          <w:szCs w:val="28"/>
        </w:rPr>
        <w:t>第一节 实施绿色建筑行动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_Toc21645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"_Toc8791" </w:instrText>
      </w:r>
      <w:r>
        <w:fldChar w:fldCharType="separate"/>
      </w:r>
      <w:r>
        <w:rPr>
          <w:rFonts w:hint="eastAsia" w:ascii="Times New Roman" w:hAnsi="Times New Roman"/>
          <w:sz w:val="28"/>
          <w:szCs w:val="28"/>
        </w:rPr>
        <w:t>第二节 持续推进清洁生产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_Toc8791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"_Toc4317" </w:instrText>
      </w:r>
      <w:r>
        <w:fldChar w:fldCharType="separate"/>
      </w:r>
      <w:r>
        <w:rPr>
          <w:rFonts w:hint="eastAsia" w:ascii="Times New Roman" w:hAnsi="Times New Roman"/>
          <w:sz w:val="28"/>
          <w:szCs w:val="28"/>
        </w:rPr>
        <w:t>第三节 加强资源综合利用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_Toc4317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"_Toc22251" </w:instrText>
      </w:r>
      <w:r>
        <w:fldChar w:fldCharType="separate"/>
      </w:r>
      <w:r>
        <w:rPr>
          <w:rFonts w:hint="eastAsia" w:ascii="Times New Roman" w:hAnsi="Times New Roman"/>
          <w:sz w:val="28"/>
          <w:szCs w:val="28"/>
        </w:rPr>
        <w:t>第四节 全面推进节能降耗</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_Toc22251 </w:instrText>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"_Toc22008" </w:instrText>
      </w:r>
      <w:r>
        <w:fldChar w:fldCharType="separate"/>
      </w:r>
      <w:r>
        <w:rPr>
          <w:rFonts w:hint="eastAsia" w:ascii="Times New Roman" w:hAnsi="Times New Roman"/>
          <w:sz w:val="28"/>
          <w:szCs w:val="28"/>
        </w:rPr>
        <w:t>第</w:t>
      </w:r>
      <w:r>
        <w:rPr>
          <w:rFonts w:ascii="Times New Roman" w:hAnsi="Times New Roman"/>
          <w:sz w:val="28"/>
          <w:szCs w:val="28"/>
        </w:rPr>
        <w:t>五</w:t>
      </w:r>
      <w:r>
        <w:rPr>
          <w:rFonts w:hint="eastAsia" w:ascii="Times New Roman" w:hAnsi="Times New Roman"/>
          <w:sz w:val="28"/>
          <w:szCs w:val="28"/>
        </w:rPr>
        <w:t>节 推进</w:t>
      </w:r>
      <w:r>
        <w:rPr>
          <w:rFonts w:ascii="Times New Roman" w:hAnsi="Times New Roman"/>
          <w:sz w:val="28"/>
          <w:szCs w:val="28"/>
        </w:rPr>
        <w:t>示范工程</w:t>
      </w:r>
      <w:r>
        <w:rPr>
          <w:rFonts w:hint="eastAsia" w:ascii="Times New Roman" w:hAnsi="Times New Roman"/>
          <w:sz w:val="28"/>
          <w:szCs w:val="28"/>
        </w:rPr>
        <w:t>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_Toc22008 </w:instrText>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"_Toc15108" </w:instrText>
      </w:r>
      <w:r>
        <w:fldChar w:fldCharType="separate"/>
      </w:r>
      <w:r>
        <w:rPr>
          <w:rFonts w:hint="eastAsia" w:ascii="Times New Roman" w:hAnsi="Times New Roman"/>
          <w:sz w:val="28"/>
          <w:szCs w:val="28"/>
        </w:rPr>
        <w:t>第六章 环境影响评价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_Toc15108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"_Toc22324" </w:instrText>
      </w:r>
      <w:r>
        <w:fldChar w:fldCharType="separate"/>
      </w:r>
      <w:r>
        <w:rPr>
          <w:rFonts w:ascii="Times New Roman" w:hAnsi="Times New Roman"/>
          <w:sz w:val="28"/>
          <w:szCs w:val="28"/>
        </w:rPr>
        <w:t xml:space="preserve">第一节 </w:t>
      </w:r>
      <w:r>
        <w:rPr>
          <w:rFonts w:hint="eastAsia" w:ascii="Times New Roman" w:hAnsi="Times New Roman"/>
          <w:sz w:val="28"/>
          <w:szCs w:val="28"/>
        </w:rPr>
        <w:t>循环经济体系对环境的影响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_Toc22324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"_Toc2774" </w:instrText>
      </w:r>
      <w:r>
        <w:fldChar w:fldCharType="separate"/>
      </w:r>
      <w:r>
        <w:rPr>
          <w:rFonts w:hint="eastAsia" w:ascii="Times New Roman" w:hAnsi="Times New Roman"/>
          <w:sz w:val="28"/>
          <w:szCs w:val="28"/>
        </w:rPr>
        <w:t>第二节 重点建设项目对环境的影响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_Toc2774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"_Toc22731" </w:instrText>
      </w:r>
      <w:r>
        <w:fldChar w:fldCharType="separate"/>
      </w:r>
      <w:r>
        <w:rPr>
          <w:rFonts w:hint="eastAsia" w:ascii="Times New Roman" w:hAnsi="Times New Roman"/>
          <w:sz w:val="28"/>
          <w:szCs w:val="28"/>
        </w:rPr>
        <w:t>第三节 环境影响防控措施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_Toc22731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sz w:val="28"/>
          <w:szCs w:val="28"/>
        </w:rPr>
      </w:pPr>
      <w:r>
        <w:fldChar w:fldCharType="begin"/>
      </w:r>
      <w:r>
        <w:instrText xml:space="preserve"> HYPERLINK \l "_Toc28684" </w:instrText>
      </w:r>
      <w:r>
        <w:fldChar w:fldCharType="separate"/>
      </w:r>
      <w:r>
        <w:rPr>
          <w:rFonts w:hint="eastAsia" w:ascii="Times New Roman" w:hAnsi="Times New Roman"/>
          <w:sz w:val="28"/>
          <w:szCs w:val="28"/>
        </w:rPr>
        <w:t>第七章 保障措施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_Toc28684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"_Toc13277" </w:instrText>
      </w:r>
      <w:r>
        <w:fldChar w:fldCharType="separate"/>
      </w:r>
      <w:r>
        <w:rPr>
          <w:rFonts w:hint="eastAsia" w:ascii="Times New Roman" w:hAnsi="Times New Roman"/>
          <w:sz w:val="28"/>
          <w:szCs w:val="28"/>
        </w:rPr>
        <w:t>第一节 加强组织领导</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_Toc13277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"_Toc25822" </w:instrText>
      </w:r>
      <w:r>
        <w:fldChar w:fldCharType="separate"/>
      </w:r>
      <w:r>
        <w:rPr>
          <w:rFonts w:hint="eastAsia" w:ascii="Times New Roman" w:hAnsi="Times New Roman"/>
          <w:sz w:val="28"/>
          <w:szCs w:val="28"/>
        </w:rPr>
        <w:t>第二节 加大政策支持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_Toc25822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"_Toc20723" </w:instrText>
      </w:r>
      <w:r>
        <w:fldChar w:fldCharType="separate"/>
      </w:r>
      <w:r>
        <w:rPr>
          <w:rFonts w:hint="eastAsia" w:ascii="Times New Roman" w:hAnsi="Times New Roman"/>
          <w:sz w:val="28"/>
          <w:szCs w:val="28"/>
        </w:rPr>
        <w:t>第三节 完善体制机制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_Toc20723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"_Toc29209" </w:instrText>
      </w:r>
      <w:r>
        <w:fldChar w:fldCharType="separate"/>
      </w:r>
      <w:r>
        <w:rPr>
          <w:rFonts w:hint="eastAsia" w:ascii="Times New Roman" w:hAnsi="Times New Roman"/>
          <w:sz w:val="28"/>
          <w:szCs w:val="28"/>
        </w:rPr>
        <w:t>第四节 加强人才支撑</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_Toc29209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"_Toc30312" </w:instrText>
      </w:r>
      <w:r>
        <w:fldChar w:fldCharType="separate"/>
      </w:r>
      <w:r>
        <w:rPr>
          <w:rFonts w:hint="eastAsia" w:ascii="Times New Roman" w:hAnsi="Times New Roman"/>
          <w:sz w:val="28"/>
          <w:szCs w:val="28"/>
        </w:rPr>
        <w:t>第五节 促进科技创新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_Toc30312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ascii="Times New Roman" w:hAnsi="Times New Roman"/>
          <w:sz w:val="28"/>
          <w:szCs w:val="28"/>
        </w:rPr>
        <w:fldChar w:fldCharType="end"/>
      </w:r>
    </w:p>
    <w:p>
      <w:pPr>
        <w:pStyle w:val="26"/>
        <w:tabs>
          <w:tab w:val="right" w:leader="dot" w:pos="8306"/>
        </w:tabs>
        <w:ind w:firstLine="0" w:firstLineChars="0"/>
        <w:rPr>
          <w:rFonts w:ascii="Times New Roman" w:hAnsi="Times New Roman"/>
          <w:sz w:val="28"/>
          <w:szCs w:val="28"/>
        </w:rPr>
      </w:pPr>
      <w:r>
        <w:fldChar w:fldCharType="begin"/>
      </w:r>
      <w:r>
        <w:instrText xml:space="preserve"> HYPERLINK \l "_Toc10856" </w:instrText>
      </w:r>
      <w:r>
        <w:fldChar w:fldCharType="separate"/>
      </w:r>
      <w:r>
        <w:rPr>
          <w:rFonts w:hint="eastAsia" w:ascii="Times New Roman" w:hAnsi="Times New Roman"/>
          <w:sz w:val="28"/>
          <w:szCs w:val="28"/>
        </w:rPr>
        <w:t>第六节 强化监督管理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_Toc10856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p>
    <w:p>
      <w:pPr>
        <w:pStyle w:val="21"/>
        <w:tabs>
          <w:tab w:val="right" w:leader="dot" w:pos="8306"/>
        </w:tabs>
        <w:spacing w:before="0" w:after="0"/>
        <w:ind w:firstLine="0" w:firstLineChars="0"/>
        <w:rPr>
          <w:rFonts w:ascii="Times New Roman" w:hAnsi="Times New Roman"/>
        </w:rPr>
      </w:pPr>
      <w:r>
        <w:fldChar w:fldCharType="begin"/>
      </w:r>
      <w:r>
        <w:instrText xml:space="preserve"> HYPERLINK \l "_Toc8972" </w:instrText>
      </w:r>
      <w:r>
        <w:fldChar w:fldCharType="separate"/>
      </w:r>
      <w:r>
        <w:rPr>
          <w:rFonts w:hint="eastAsia" w:ascii="Times New Roman" w:hAnsi="Times New Roman"/>
          <w:sz w:val="28"/>
          <w:szCs w:val="28"/>
        </w:rPr>
        <w:t>附件：桂林市循环经济十三五重点项目表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_Toc8972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pPr>
        <w:spacing w:line="276" w:lineRule="auto"/>
        <w:ind w:firstLine="0" w:firstLineChars="0"/>
        <w:jc w:val="center"/>
        <w:rPr>
          <w:rFonts w:eastAsia="黑体"/>
          <w:sz w:val="36"/>
          <w:szCs w:val="36"/>
        </w:rPr>
        <w:sectPr>
          <w:footerReference r:id="rId10" w:type="default"/>
          <w:footerReference r:id="rId11" w:type="even"/>
          <w:pgSz w:w="11906" w:h="16838"/>
          <w:pgMar w:top="1440" w:right="1800" w:bottom="1440" w:left="1800" w:header="851" w:footer="992" w:gutter="0"/>
          <w:pgNumType w:fmt="upperRoman" w:start="1"/>
          <w:cols w:space="425" w:num="1"/>
          <w:docGrid w:type="lines" w:linePitch="312" w:charSpace="0"/>
        </w:sectPr>
      </w:pPr>
      <w:r>
        <w:rPr>
          <w:rFonts w:eastAsia="黑体" w:cstheme="minorHAnsi"/>
          <w:b/>
          <w:bCs/>
          <w:caps/>
          <w:szCs w:val="44"/>
        </w:rPr>
        <w:fldChar w:fldCharType="end"/>
      </w:r>
    </w:p>
    <w:p>
      <w:pPr>
        <w:pStyle w:val="2"/>
      </w:pPr>
      <w:bookmarkStart w:id="0" w:name="_Toc1728"/>
      <w:bookmarkStart w:id="1" w:name="_Toc20897"/>
      <w:bookmarkStart w:id="2" w:name="_Toc469592761"/>
      <w:bookmarkStart w:id="3" w:name="_Toc32284"/>
      <w:bookmarkStart w:id="4" w:name="_Toc461547603"/>
      <w:bookmarkStart w:id="5" w:name="_Toc28690"/>
      <w:bookmarkStart w:id="6" w:name="_Toc465942552"/>
      <w:bookmarkStart w:id="7" w:name="_Toc454737385"/>
      <w:bookmarkStart w:id="8" w:name="_Toc2503"/>
      <w:r>
        <w:rPr>
          <w:rFonts w:hint="eastAsia"/>
        </w:rPr>
        <w:t>前  言</w:t>
      </w:r>
      <w:bookmarkEnd w:id="0"/>
      <w:bookmarkEnd w:id="1"/>
      <w:bookmarkEnd w:id="2"/>
      <w:bookmarkEnd w:id="3"/>
      <w:bookmarkEnd w:id="4"/>
      <w:bookmarkEnd w:id="5"/>
      <w:bookmarkEnd w:id="6"/>
      <w:bookmarkEnd w:id="7"/>
      <w:bookmarkEnd w:id="8"/>
    </w:p>
    <w:p>
      <w:pPr>
        <w:ind w:firstLine="560"/>
      </w:pPr>
      <w:r>
        <w:rPr>
          <w:rFonts w:hint="eastAsia"/>
        </w:rPr>
        <w:t>发展循环经济是我国的一项重大战略决策，是我国“十三五”时期坚持绿色发展的一个重要途径，是落实党的十八大推进生态文明建设战略部署的重大举措，是加快转变经济发展方式，建设资源节约型、环境友好型社会，实现可持续发展的必然选择。2014年广西壮族自治区人民政府办公厅印发的《广西循环经济发展实施方案》明确指出，桂林市循环经济发展的目标是建设成为国家低碳城市试点市和高端循环型旅游城市。为指导和推动桂林市循环经济加快发展，特编制本规划。</w:t>
      </w:r>
    </w:p>
    <w:p>
      <w:pPr>
        <w:ind w:firstLine="560"/>
      </w:pPr>
      <w:r>
        <w:rPr>
          <w:rFonts w:hint="eastAsia"/>
        </w:rPr>
        <w:t>本规划编制依据主要有：《中华人民共和国循环经济促进法》《中华人民共和国清洁生产促进法》《循环经济发展战略及近期行动计划》（国发〔2013〕5号）、《循环经济发展规划编制指南》（发改办环资〔2010〕3311号）、《广西循环经济发展“十三五”规划》《广西生态经济发展规划（2015－2020年）》《桂林市国民经济和社会发展第十三个五年规划纲要》《桂林国际旅游胜地建设发展规划纲要》等。</w:t>
      </w:r>
    </w:p>
    <w:p>
      <w:pPr>
        <w:ind w:firstLine="560"/>
      </w:pPr>
      <w:r>
        <w:rPr>
          <w:rFonts w:hint="eastAsia"/>
        </w:rPr>
        <w:t>规划期限为2016年—2020年。</w:t>
      </w:r>
    </w:p>
    <w:p>
      <w:pPr>
        <w:pStyle w:val="2"/>
        <w:rPr>
          <w:szCs w:val="32"/>
        </w:rPr>
      </w:pPr>
      <w:r>
        <w:rPr>
          <w:sz w:val="24"/>
          <w:szCs w:val="24"/>
        </w:rPr>
        <w:br w:type="page"/>
      </w:r>
      <w:bookmarkStart w:id="9" w:name="_Toc3426"/>
      <w:bookmarkStart w:id="10" w:name="_Toc454737386"/>
      <w:bookmarkStart w:id="11" w:name="_Toc10809"/>
      <w:bookmarkStart w:id="12" w:name="_Toc465942553"/>
      <w:bookmarkStart w:id="13" w:name="_Toc469592762"/>
      <w:bookmarkStart w:id="14" w:name="_Toc461547604"/>
      <w:bookmarkStart w:id="15" w:name="_Toc9509"/>
      <w:bookmarkStart w:id="16" w:name="_Toc16400"/>
      <w:bookmarkStart w:id="17" w:name="_Toc152"/>
      <w:r>
        <w:rPr>
          <w:rFonts w:hint="eastAsia"/>
          <w:szCs w:val="32"/>
        </w:rPr>
        <w:t>第一章 发展基础与环境分析</w:t>
      </w:r>
      <w:bookmarkEnd w:id="9"/>
      <w:bookmarkEnd w:id="10"/>
      <w:bookmarkEnd w:id="11"/>
      <w:bookmarkEnd w:id="12"/>
      <w:bookmarkEnd w:id="13"/>
      <w:bookmarkEnd w:id="14"/>
      <w:bookmarkEnd w:id="15"/>
      <w:bookmarkEnd w:id="16"/>
      <w:bookmarkEnd w:id="17"/>
    </w:p>
    <w:p>
      <w:pPr>
        <w:pStyle w:val="3"/>
      </w:pPr>
      <w:bookmarkStart w:id="18" w:name="_Toc20926"/>
      <w:bookmarkStart w:id="19" w:name="_Toc465942554"/>
      <w:bookmarkStart w:id="20" w:name="_Toc454737387"/>
      <w:bookmarkStart w:id="21" w:name="_Toc469592763"/>
      <w:bookmarkStart w:id="22" w:name="_Toc2853"/>
      <w:bookmarkStart w:id="23" w:name="_Toc7433"/>
      <w:bookmarkStart w:id="24" w:name="_Toc461547605"/>
      <w:bookmarkStart w:id="25" w:name="_Toc15329"/>
      <w:bookmarkStart w:id="26" w:name="_Toc24149"/>
      <w:r>
        <w:rPr>
          <w:rFonts w:hint="eastAsia"/>
        </w:rPr>
        <w:t>第一节 发展基础</w:t>
      </w:r>
      <w:bookmarkEnd w:id="18"/>
      <w:bookmarkEnd w:id="19"/>
      <w:bookmarkEnd w:id="20"/>
      <w:bookmarkEnd w:id="21"/>
      <w:bookmarkEnd w:id="22"/>
      <w:bookmarkEnd w:id="23"/>
      <w:bookmarkEnd w:id="24"/>
      <w:bookmarkEnd w:id="25"/>
      <w:bookmarkEnd w:id="26"/>
    </w:p>
    <w:p>
      <w:pPr>
        <w:ind w:firstLine="560"/>
      </w:pPr>
      <w:r>
        <w:rPr>
          <w:rFonts w:hint="eastAsia"/>
        </w:rPr>
        <w:t>“十二五”期间，桂林市深入贯彻落实十八大关于“大力推进生态文明建设”的战略决策，坚持以创新、协调、绿色、开放、共享发展为引领，以循环经济发展为抓手，大力实施生态立市发展战略。通过建立企业政府共同参与、市场化运作的模式，积极开展循环经济试点，制定配套政策，为“十三五”打下了良好基础。</w:t>
      </w:r>
    </w:p>
    <w:p>
      <w:pPr>
        <w:pStyle w:val="4"/>
        <w:ind w:firstLine="600"/>
      </w:pPr>
      <w:bookmarkStart w:id="27" w:name="_Toc465942555"/>
      <w:bookmarkStart w:id="28" w:name="_Toc7245"/>
      <w:bookmarkStart w:id="29" w:name="_Toc9264"/>
      <w:bookmarkStart w:id="30" w:name="_Toc29506"/>
      <w:bookmarkStart w:id="31" w:name="_Toc461547606"/>
      <w:bookmarkStart w:id="32" w:name="_Toc32063"/>
      <w:bookmarkStart w:id="33" w:name="_Toc469592764"/>
      <w:bookmarkStart w:id="34" w:name="_Toc454737388"/>
      <w:r>
        <w:rPr>
          <w:rFonts w:hint="eastAsia"/>
        </w:rPr>
        <w:t>一、政策支持体系不断完善</w:t>
      </w:r>
      <w:bookmarkEnd w:id="27"/>
      <w:bookmarkEnd w:id="28"/>
      <w:bookmarkEnd w:id="29"/>
      <w:bookmarkEnd w:id="30"/>
      <w:bookmarkEnd w:id="31"/>
      <w:bookmarkEnd w:id="32"/>
      <w:bookmarkEnd w:id="33"/>
      <w:bookmarkEnd w:id="34"/>
    </w:p>
    <w:p>
      <w:pPr>
        <w:ind w:firstLine="560"/>
      </w:pPr>
      <w:bookmarkStart w:id="35" w:name="_Toc454737389"/>
      <w:bookmarkStart w:id="36" w:name="_Toc461547607"/>
      <w:r>
        <w:rPr>
          <w:rFonts w:hint="eastAsia"/>
        </w:rPr>
        <w:t>为了更好地促进低碳循环发展，桂林市政府陆续出台了《桂林市循环经济发展“十二五”规划》《桂林市生态文明先行示范区建设实施方案》《桂林市“十二五”节能减排综合性工作实施方案》《桂林市2015－2020再生资源回收体系建设发展规划》《桂林低碳城市试点工作实施方案》《桂林低碳试点城市低碳示范区实施方案》等一系列相关规划和实施方案，大力支持循环经济科研开发、技术标准制定、产品示范推广、重大项目实施和信息服务等工作。出台了《桂林市漓江生态补偿转移支付办法》，调动起六城区保护漓江积极性，提高漓江生态区保障能力。</w:t>
      </w:r>
    </w:p>
    <w:p>
      <w:pPr>
        <w:pStyle w:val="4"/>
        <w:ind w:firstLine="600"/>
      </w:pPr>
      <w:bookmarkStart w:id="37" w:name="_Toc10823"/>
      <w:bookmarkStart w:id="38" w:name="_Toc21625"/>
      <w:bookmarkStart w:id="39" w:name="_Toc26039"/>
      <w:bookmarkStart w:id="40" w:name="_Toc469592765"/>
      <w:bookmarkStart w:id="41" w:name="_Toc15376"/>
      <w:bookmarkStart w:id="42" w:name="_Toc465942556"/>
      <w:r>
        <w:rPr>
          <w:rFonts w:hint="eastAsia"/>
        </w:rPr>
        <w:t>二、</w:t>
      </w:r>
      <w:bookmarkEnd w:id="35"/>
      <w:bookmarkEnd w:id="36"/>
      <w:r>
        <w:rPr>
          <w:rFonts w:hint="eastAsia"/>
        </w:rPr>
        <w:t>循环经济链条初步构成</w:t>
      </w:r>
      <w:bookmarkEnd w:id="37"/>
      <w:bookmarkEnd w:id="38"/>
      <w:bookmarkEnd w:id="39"/>
      <w:bookmarkEnd w:id="40"/>
      <w:bookmarkEnd w:id="41"/>
      <w:bookmarkEnd w:id="42"/>
    </w:p>
    <w:p>
      <w:pPr>
        <w:ind w:firstLine="560"/>
        <w:rPr>
          <w:b/>
          <w:bCs/>
        </w:rPr>
      </w:pPr>
      <w:bookmarkStart w:id="43" w:name="_Toc461547608"/>
      <w:bookmarkStart w:id="44" w:name="_Toc454737390"/>
      <w:r>
        <w:rPr>
          <w:rFonts w:hint="eastAsia"/>
          <w:b/>
          <w:bCs/>
        </w:rPr>
        <w:t>（一）循环农业</w:t>
      </w:r>
    </w:p>
    <w:p>
      <w:pPr>
        <w:ind w:firstLine="560"/>
      </w:pPr>
      <w:r>
        <w:rPr>
          <w:rFonts w:hint="eastAsia"/>
        </w:rPr>
        <w:t>桂林市是全国首批循环农业示范市广西唯一入选城市。“十二五”期间，桂林市生态循环农林业发展呈现新亮点，以农产品、畜禽产品、林产品、水产品生产加工为主导的四大循环农业经济体系纵深发展，大力推广种养结合、粮经结合、种养加工结合等生态循环模式。创建了独具特色的“猪→沼→果”“稻→灯→鱼→菇”“稻→菜→三诱（灯、色、性诱）→废弃物→有机肥”“稻→灯→鸭”等生态循环模式60余项, 示范样板累计2350个，示范面积累计860.7万亩。“美丽桂林 清洁田园”活动初见成效，</w:t>
      </w:r>
      <w:r>
        <w:rPr>
          <w:rFonts w:hint="eastAsia" w:cs="仿宋"/>
          <w:szCs w:val="28"/>
        </w:rPr>
        <w:t>累计实施农村环境连片整治项目近600个，农村生活污水、生活垃圾得到初步整治，农村环境卫生和村容村貌得到了显著改善，2015年11月第二次全国改善农村人居环境工作会议在恭城召开</w:t>
      </w:r>
      <w:r>
        <w:rPr>
          <w:rFonts w:hint="eastAsia"/>
        </w:rPr>
        <w:t>。</w:t>
      </w:r>
    </w:p>
    <w:p>
      <w:pPr>
        <w:ind w:firstLine="560"/>
        <w:rPr>
          <w:b/>
          <w:bCs/>
        </w:rPr>
      </w:pPr>
      <w:r>
        <w:rPr>
          <w:rFonts w:hint="eastAsia"/>
          <w:b/>
          <w:bCs/>
        </w:rPr>
        <w:t>（二）循环工业</w:t>
      </w:r>
    </w:p>
    <w:p>
      <w:pPr>
        <w:ind w:firstLine="560"/>
      </w:pPr>
      <w:r>
        <w:rPr>
          <w:rFonts w:hint="eastAsia"/>
        </w:rPr>
        <w:t>桂林市以电子信息、医药及生物制品、先进装备制造、生态食品等四个优势产业为支柱，合理延长工业产业链，逐步形成了以桂林国家高新技术产业开发区为核心的生态工业体系，构建形成“矿产开采—冶炼—建材制造、药材种植—生物医药—生物肥料”“种植—养殖—食品饮料加工”等一系列重点产业循环经济链条，通过中间环节相互关联，基本建成生态产业链网，有效带动了生态农业与生态服务业的发展。工业园区资源利用效率不断提高，逐步形成了节约型的园区经济增长方式，构建了园区“资源—产品—再生资源”的循环经济体系，提高园区经济可持续发展能力。万元生产总值能耗从2010年的0.69吨标煤/万元下降到2015年的0.56吨标煤/万元，年均下降4.1%，超额完成自治区下达的节能减排目标任务。</w:t>
      </w:r>
    </w:p>
    <w:p>
      <w:pPr>
        <w:ind w:firstLine="560"/>
        <w:rPr>
          <w:b/>
          <w:bCs/>
        </w:rPr>
      </w:pPr>
      <w:r>
        <w:rPr>
          <w:rFonts w:hint="eastAsia"/>
          <w:b/>
          <w:bCs/>
        </w:rPr>
        <w:t>（三）循环服务业</w:t>
      </w:r>
    </w:p>
    <w:p>
      <w:pPr>
        <w:ind w:firstLine="560"/>
      </w:pPr>
      <w:r>
        <w:rPr>
          <w:rFonts w:hint="eastAsia"/>
        </w:rPr>
        <w:t>“十二五”期间，桂林市构建起城市绿色货运配送体系，大力推动绿色流通，推进再生资源回收，促进商贸物流网络与逆向物流体系融合，编制完成《桂林市</w:t>
      </w:r>
      <w:r>
        <w:t>2015</w:t>
      </w:r>
      <w:r>
        <w:rPr>
          <w:rFonts w:hint="eastAsia"/>
        </w:rPr>
        <w:t>-</w:t>
      </w:r>
      <w:r>
        <w:t>2020再生资源回收体系建设发展规划》，引导商贸流通产业转型升级。</w:t>
      </w:r>
      <w:r>
        <w:rPr>
          <w:rFonts w:hint="eastAsia"/>
        </w:rPr>
        <w:t>创新“低碳旅游</w:t>
      </w:r>
      <w:r>
        <w:t>+</w:t>
      </w:r>
      <w:r>
        <w:rPr>
          <w:rFonts w:hint="eastAsia"/>
        </w:rPr>
        <w:t>”</w:t>
      </w:r>
      <w:r>
        <w:t>发展模式，利用旅游业产业链长、拉动作用大的</w:t>
      </w:r>
      <w:r>
        <w:rPr>
          <w:rFonts w:hint="eastAsia"/>
        </w:rPr>
        <w:t>纽带优势，实施全域旅游和“旅游+”产业联动发展，形成产业链和价值链的生态化</w:t>
      </w:r>
      <w:r>
        <w:t>，推动新城市循环经济模式发展</w:t>
      </w:r>
      <w:r>
        <w:rPr>
          <w:rFonts w:hint="eastAsia"/>
        </w:rPr>
        <w:t>。桂林市</w:t>
      </w:r>
      <w:r>
        <w:t>持续</w:t>
      </w:r>
      <w:r>
        <w:rPr>
          <w:rFonts w:hint="eastAsia"/>
        </w:rPr>
        <w:t>实施“绿满八桂”工程，城市绿化、生态环境质量保持全国领先水平。推出“低碳体验”微信公众号，面向全市民众和众多游客进行低碳的宣传推广。</w:t>
      </w:r>
    </w:p>
    <w:p>
      <w:pPr>
        <w:pStyle w:val="4"/>
        <w:ind w:firstLine="600"/>
      </w:pPr>
      <w:bookmarkStart w:id="45" w:name="_Toc5334"/>
      <w:bookmarkStart w:id="46" w:name="_Toc6658"/>
      <w:bookmarkStart w:id="47" w:name="_Toc469592766"/>
      <w:bookmarkStart w:id="48" w:name="_Toc28891"/>
      <w:bookmarkStart w:id="49" w:name="_Toc465942557"/>
      <w:bookmarkStart w:id="50" w:name="_Toc4827"/>
      <w:r>
        <w:rPr>
          <w:rFonts w:hint="eastAsia"/>
        </w:rPr>
        <w:t>三、清洁生产推广成效</w:t>
      </w:r>
      <w:bookmarkEnd w:id="43"/>
      <w:bookmarkEnd w:id="44"/>
      <w:bookmarkEnd w:id="45"/>
      <w:bookmarkEnd w:id="46"/>
      <w:bookmarkEnd w:id="47"/>
      <w:bookmarkEnd w:id="48"/>
      <w:bookmarkEnd w:id="49"/>
      <w:bookmarkEnd w:id="50"/>
      <w:r>
        <w:rPr>
          <w:rFonts w:hint="eastAsia"/>
        </w:rPr>
        <w:t>显著</w:t>
      </w:r>
    </w:p>
    <w:p>
      <w:pPr>
        <w:ind w:firstLine="0" w:firstLineChars="0"/>
      </w:pPr>
      <w:r>
        <w:rPr>
          <w:rFonts w:hint="eastAsia"/>
        </w:rPr>
        <w:t xml:space="preserve">    桂林市高度重视清洁生产审核，在重点行业规模以上企业中大力推行清洁生产审核，实施生态化管理，推行生产工序之间微循环，将资源循环利用、节能降耗、废弃物综合治理等环保理念贯穿于产品的设计、生产、销售与回收的全过程。同时，充分发挥清洁生产示范企业带头作用，推进企业从原材料、生产过程等产品生命周期全过程控制，桂林三金药业股份公司等共计</w:t>
      </w:r>
      <w:r>
        <w:t>114</w:t>
      </w:r>
      <w:r>
        <w:rPr>
          <w:rFonts w:hint="eastAsia"/>
        </w:rPr>
        <w:t>家通过清洁生产实施效果评估验收，共实施清洁生产技术改造项目</w:t>
      </w:r>
      <w:r>
        <w:t>298</w:t>
      </w:r>
      <w:r>
        <w:rPr>
          <w:rFonts w:hint="eastAsia"/>
        </w:rPr>
        <w:t>项。“十二五”期间，桂林市</w:t>
      </w:r>
      <w:r>
        <w:rPr>
          <w:rFonts w:hint="eastAsia" w:cs="仿宋"/>
          <w:szCs w:val="28"/>
        </w:rPr>
        <w:t>完成重点企业强制性清洁生产审核评估103家次，验收83家次，</w:t>
      </w:r>
      <w:r>
        <w:rPr>
          <w:rFonts w:hint="eastAsia"/>
        </w:rPr>
        <w:t>2015年全市共有</w:t>
      </w:r>
      <w:r>
        <w:t>6</w:t>
      </w:r>
      <w:r>
        <w:rPr>
          <w:rFonts w:hint="eastAsia"/>
        </w:rPr>
        <w:t>家企业荣获自治区级循环经济先进企业称号，燕京啤酒（桂林漓泉）成为全国工业循环经济示范企业。</w:t>
      </w:r>
    </w:p>
    <w:p>
      <w:pPr>
        <w:pStyle w:val="4"/>
        <w:ind w:firstLine="600"/>
      </w:pPr>
      <w:bookmarkStart w:id="51" w:name="_Toc461547609"/>
      <w:bookmarkStart w:id="52" w:name="_Toc454737391"/>
      <w:bookmarkStart w:id="53" w:name="_Toc22452"/>
      <w:bookmarkStart w:id="54" w:name="_Toc12025"/>
      <w:bookmarkStart w:id="55" w:name="_Toc1758"/>
      <w:bookmarkStart w:id="56" w:name="_Toc465942558"/>
      <w:bookmarkStart w:id="57" w:name="_Toc20848"/>
      <w:bookmarkStart w:id="58" w:name="_Toc469592767"/>
      <w:r>
        <w:rPr>
          <w:rFonts w:hint="eastAsia"/>
        </w:rPr>
        <w:t>四、</w:t>
      </w:r>
      <w:bookmarkEnd w:id="51"/>
      <w:bookmarkEnd w:id="52"/>
      <w:r>
        <w:rPr>
          <w:rFonts w:hint="eastAsia"/>
        </w:rPr>
        <w:t>资源综合利用迈新台阶</w:t>
      </w:r>
      <w:bookmarkEnd w:id="53"/>
      <w:bookmarkEnd w:id="54"/>
      <w:bookmarkEnd w:id="55"/>
      <w:bookmarkEnd w:id="56"/>
      <w:bookmarkEnd w:id="57"/>
      <w:bookmarkEnd w:id="58"/>
    </w:p>
    <w:p>
      <w:pPr>
        <w:ind w:firstLine="0" w:firstLineChars="0"/>
      </w:pPr>
      <w:r>
        <w:rPr>
          <w:rFonts w:hint="eastAsia"/>
        </w:rPr>
        <w:t xml:space="preserve">    2014年，桂林市成为自治区首批城市生活垃圾分类试点城市，已在23个试点小区形成了“分类投放、分类收集、分类运输、分类处理”的完整链条。“十二五”期间，灌阳、资源、兴安等县共建设了11个垃圾填埋场，合计日处理能力3505吨，桂林市生活垃圾“无害化、减量化、资源化”处理水平得到提高，城镇生活垃圾无害化处理率超过75%。2011年桂林市获得国家“可再生能源建筑应用示范城市”称号，2015年通过验收，4年内共开展可再生能源建筑应用示范项目101个，有效地开发利用地表水水源热、土壤源热、地下水水源热、污水源热、太阳能热等可再生能源，实现能源循环再利用。</w:t>
      </w:r>
      <w:r>
        <w:t>2015</w:t>
      </w:r>
      <w:r>
        <w:rPr>
          <w:rFonts w:hint="eastAsia"/>
        </w:rPr>
        <w:t>年桂林市市区污水集中处理率达</w:t>
      </w:r>
      <w:r>
        <w:t>93.5%</w:t>
      </w:r>
      <w:r>
        <w:rPr>
          <w:rFonts w:hint="eastAsia"/>
        </w:rPr>
        <w:t>，环保基础设施不断完善。</w:t>
      </w:r>
    </w:p>
    <w:p>
      <w:pPr>
        <w:ind w:firstLine="560"/>
      </w:pPr>
      <w:r>
        <w:rPr>
          <w:rFonts w:hint="eastAsia"/>
        </w:rPr>
        <w:t>总体上看，桂林市循环经济发展在“十二五”期间取得显著成效，为“十三五”时期循环经济发展再上新台阶奠定了良好基础。但受宏观环境的影响和发展阶段的制约，桂林市循环经济发展仍然存在着以下问题，需要通过“十三五”规划的实施逐步加以解决。</w:t>
      </w:r>
    </w:p>
    <w:p>
      <w:pPr>
        <w:ind w:firstLine="560"/>
      </w:pPr>
      <w:r>
        <w:rPr>
          <w:rFonts w:hint="eastAsia"/>
          <w:b/>
          <w:bCs/>
        </w:rPr>
        <w:t>一是循环经济发展欠缺系统性。</w:t>
      </w:r>
      <w:r>
        <w:rPr>
          <w:rFonts w:hint="eastAsia"/>
        </w:rPr>
        <w:t>尽管桂林市各产业循环发展均有亮点，但产业间、生活与生产间缺乏充分深入的融合，突出表现在工业和现代服务业融合不足，农业与旅游业也缺少深入联系，相互间缺乏对物质流、能量流和信息流的有效汇聚与链接，从而导致桂林市循环经济发展多“点”状发展，缺乏立体化与规模化发展，从而影响了循环经济的建设和发展。</w:t>
      </w:r>
    </w:p>
    <w:p>
      <w:pPr>
        <w:ind w:firstLine="560"/>
      </w:pPr>
      <w:r>
        <w:rPr>
          <w:rFonts w:hint="eastAsia"/>
          <w:b/>
          <w:bCs/>
        </w:rPr>
        <w:t>二是企业循环经济发展动力不足。</w:t>
      </w:r>
      <w:r>
        <w:rPr>
          <w:rFonts w:hint="eastAsia"/>
        </w:rPr>
        <w:t>目前桂林市企业参与循环经济建设的意识还有待加强，在经济工作中用循环经济理念指导生产实践较少。多数企业尚未建立基本的物质流量和能量流量统计制度，对于企业和地区进行循环经济管理缺乏基本的数据信息。</w:t>
      </w:r>
    </w:p>
    <w:p>
      <w:pPr>
        <w:ind w:firstLine="560"/>
      </w:pPr>
      <w:r>
        <w:rPr>
          <w:rFonts w:hint="eastAsia"/>
          <w:b/>
          <w:bCs/>
        </w:rPr>
        <w:t>三是循环经济发展资金投入受限。</w:t>
      </w:r>
      <w:r>
        <w:rPr>
          <w:rFonts w:hint="eastAsia"/>
        </w:rPr>
        <w:t>桂林市目前一些传统企业工艺和技术装备仍较落后，资源综合利用和环保产业技术尚处于较低水平，尚未形成促进循环经济发展的强大技术支撑体系。循环经济的发展很大程度上依靠基础设施的建设和完善，同时要靠先进的技术和装备来支持，对资金的持续投入需求巨大。而目前桂林市各县域的经济实力还比较薄弱，还难以满足加快循环经济发展对资金的需求。</w:t>
      </w:r>
      <w:bookmarkStart w:id="59" w:name="_Toc461547615"/>
      <w:bookmarkStart w:id="60" w:name="_Toc454737396"/>
    </w:p>
    <w:p>
      <w:pPr>
        <w:pStyle w:val="3"/>
      </w:pPr>
      <w:bookmarkStart w:id="61" w:name="_Toc465942564"/>
      <w:bookmarkStart w:id="62" w:name="_Toc11033"/>
      <w:bookmarkStart w:id="63" w:name="_Toc24368"/>
      <w:bookmarkStart w:id="64" w:name="_Toc469592768"/>
      <w:bookmarkStart w:id="65" w:name="_Toc21471"/>
      <w:bookmarkStart w:id="66" w:name="_Toc4050"/>
      <w:bookmarkStart w:id="67" w:name="_Toc1551"/>
      <w:r>
        <w:rPr>
          <w:rFonts w:hint="eastAsia"/>
        </w:rPr>
        <w:t xml:space="preserve">第二节 </w:t>
      </w:r>
      <w:bookmarkEnd w:id="59"/>
      <w:bookmarkEnd w:id="60"/>
      <w:bookmarkEnd w:id="61"/>
      <w:r>
        <w:rPr>
          <w:rFonts w:hint="eastAsia"/>
        </w:rPr>
        <w:t>发展环境</w:t>
      </w:r>
      <w:bookmarkEnd w:id="62"/>
      <w:bookmarkEnd w:id="63"/>
      <w:bookmarkEnd w:id="64"/>
      <w:bookmarkEnd w:id="65"/>
      <w:bookmarkEnd w:id="66"/>
      <w:bookmarkEnd w:id="67"/>
    </w:p>
    <w:p>
      <w:pPr>
        <w:pStyle w:val="4"/>
        <w:ind w:firstLine="600"/>
      </w:pPr>
      <w:bookmarkStart w:id="68" w:name="_Toc14118"/>
      <w:bookmarkStart w:id="69" w:name="_Toc30817"/>
      <w:bookmarkStart w:id="70" w:name="_Toc20031"/>
      <w:bookmarkStart w:id="71" w:name="_Toc469592769"/>
      <w:bookmarkStart w:id="72" w:name="_Toc465942565"/>
      <w:bookmarkStart w:id="73" w:name="_Toc461547616"/>
      <w:bookmarkStart w:id="74" w:name="_Toc454737397"/>
      <w:bookmarkStart w:id="75" w:name="_Toc9544"/>
      <w:r>
        <w:rPr>
          <w:rFonts w:hint="eastAsia"/>
        </w:rPr>
        <w:t>一、发展机遇</w:t>
      </w:r>
      <w:bookmarkEnd w:id="68"/>
      <w:bookmarkEnd w:id="69"/>
      <w:bookmarkEnd w:id="70"/>
      <w:bookmarkEnd w:id="71"/>
      <w:bookmarkEnd w:id="72"/>
      <w:bookmarkEnd w:id="73"/>
      <w:bookmarkEnd w:id="74"/>
      <w:bookmarkEnd w:id="75"/>
    </w:p>
    <w:p>
      <w:pPr>
        <w:ind w:firstLine="560"/>
        <w:rPr>
          <w:b/>
        </w:rPr>
      </w:pPr>
      <w:bookmarkStart w:id="76" w:name="_Toc454737398"/>
      <w:bookmarkStart w:id="77" w:name="_Toc461547617"/>
      <w:r>
        <w:rPr>
          <w:rFonts w:hint="eastAsia"/>
          <w:b/>
        </w:rPr>
        <w:t>（一）多种优势叠加给循环经济发展带来新活力</w:t>
      </w:r>
    </w:p>
    <w:p>
      <w:pPr>
        <w:ind w:firstLine="560"/>
      </w:pPr>
      <w:r>
        <w:rPr>
          <w:rFonts w:hint="eastAsia"/>
        </w:rPr>
        <w:t>推进绿色低碳循环发展，是贯彻绿色发展理念的重要抓手。</w:t>
      </w:r>
      <w:r>
        <w:t>中央赋予广西</w:t>
      </w:r>
      <w:r>
        <w:rPr>
          <w:rFonts w:hint="eastAsia"/>
        </w:rPr>
        <w:t>的“</w:t>
      </w:r>
      <w:r>
        <w:t>三大定位</w:t>
      </w:r>
      <w:r>
        <w:rPr>
          <w:rFonts w:hint="eastAsia"/>
        </w:rPr>
        <w:t>”</w:t>
      </w:r>
      <w:r>
        <w:t>新使命和自治区确立的</w:t>
      </w:r>
      <w:r>
        <w:rPr>
          <w:rFonts w:hint="eastAsia"/>
        </w:rPr>
        <w:t>“</w:t>
      </w:r>
      <w:r>
        <w:t>四大战略</w:t>
      </w:r>
      <w:r>
        <w:rPr>
          <w:rFonts w:hint="eastAsia"/>
        </w:rPr>
        <w:t>”</w:t>
      </w:r>
      <w:r>
        <w:t>，为桂林发展带来了新动力、新空间、新增长点。</w:t>
      </w:r>
      <w:r>
        <w:rPr>
          <w:rFonts w:hint="eastAsia"/>
        </w:rPr>
        <w:t>“十三五”期间</w:t>
      </w:r>
      <w:r>
        <w:t>，国际旅游胜地</w:t>
      </w:r>
      <w:r>
        <w:rPr>
          <w:rFonts w:hint="eastAsia"/>
        </w:rPr>
        <w:t>的</w:t>
      </w:r>
      <w:r>
        <w:t>政策红利</w:t>
      </w:r>
      <w:r>
        <w:rPr>
          <w:rFonts w:hint="eastAsia"/>
        </w:rPr>
        <w:t>继续</w:t>
      </w:r>
      <w:r>
        <w:t>释放，名城优势、区位优势、政策优势、环境优势多重效应叠加，为加快</w:t>
      </w:r>
      <w:r>
        <w:rPr>
          <w:rFonts w:hint="eastAsia"/>
        </w:rPr>
        <w:t>循环经济</w:t>
      </w:r>
      <w:r>
        <w:t>发展集聚了强劲动力和活力。</w:t>
      </w:r>
    </w:p>
    <w:p>
      <w:pPr>
        <w:ind w:firstLine="560"/>
        <w:rPr>
          <w:b/>
        </w:rPr>
      </w:pPr>
      <w:r>
        <w:rPr>
          <w:rFonts w:hint="eastAsia"/>
          <w:b/>
        </w:rPr>
        <w:t>（二）转方式调结构对循环经济发展提出新要求</w:t>
      </w:r>
    </w:p>
    <w:p>
      <w:pPr>
        <w:ind w:firstLine="560"/>
      </w:pPr>
      <w:r>
        <w:rPr>
          <w:rFonts w:hint="eastAsia"/>
        </w:rPr>
        <w:t>“十三五”时期，是桂林市强化创新驱动、优化产业结构、全面提升产业竞争力的关键期。在新常态下，循环经济是以资源的高效利用和循环利用为核心，以“减量化、再利用、再循环”为原则，是调整经济结构、转变经济发展方式的有效实现形式，而经济发展方式逐渐从生产性领域为主向生产、流通、消费全流程为主转变，也对全市循环经济发展加快“补短板”、提升水平提出了新要求。</w:t>
      </w:r>
    </w:p>
    <w:p>
      <w:pPr>
        <w:ind w:firstLine="560"/>
        <w:rPr>
          <w:b/>
        </w:rPr>
      </w:pPr>
      <w:r>
        <w:rPr>
          <w:rFonts w:hint="eastAsia"/>
          <w:b/>
        </w:rPr>
        <w:t>（三）生态绿色发展为循环经济发展提供新机遇</w:t>
      </w:r>
    </w:p>
    <w:p>
      <w:pPr>
        <w:ind w:firstLine="560"/>
      </w:pPr>
      <w:r>
        <w:rPr>
          <w:rFonts w:hint="eastAsia"/>
        </w:rPr>
        <w:t>“十三五”时期，是贯彻落实《关于加快推进生态文明建设的意见》和绿色发展理念，实施循环发展引领计划的关键时期。桂林市目前的生态环境质量总体较好，但随着产业的发展和建设进程的推进，必将对生态环境造成很大压力，而循环经济以协调人与自然关系为准则，能够实现资源的可持续利用。绿色循环低碳发展的潮流为桂林市坚持走绿水青山就是金山银山的发展路子、持续加强生态文明建设、大力发展循环经济提供新的机遇。</w:t>
      </w:r>
    </w:p>
    <w:p>
      <w:pPr>
        <w:ind w:firstLine="560"/>
        <w:rPr>
          <w:b/>
        </w:rPr>
      </w:pPr>
      <w:r>
        <w:rPr>
          <w:rFonts w:hint="eastAsia"/>
          <w:b/>
        </w:rPr>
        <w:t>（四）新业态新模式给循环经济发展提供新路径</w:t>
      </w:r>
    </w:p>
    <w:p>
      <w:pPr>
        <w:ind w:firstLine="560"/>
      </w:pPr>
      <w:r>
        <w:rPr>
          <w:rFonts w:hint="eastAsia"/>
        </w:rPr>
        <w:t>“十三五”时期，随着互联网+、共享经济</w:t>
      </w:r>
      <w:r>
        <w:rPr>
          <w:rStyle w:val="37"/>
          <w:rFonts w:hint="eastAsia"/>
        </w:rPr>
        <w:footnoteReference w:id="0"/>
      </w:r>
      <w:r>
        <w:rPr>
          <w:rFonts w:hint="eastAsia"/>
        </w:rPr>
        <w:t>的发展，新的业态模式和组织形态正加速形成和演化，深刻地影响着经济社会各领域的发展路径。循环经济发展应积极适应新趋势，充分发挥互联网的平台作用，积极发展分享经济，促进形成循环经济发展的新路径。</w:t>
      </w:r>
    </w:p>
    <w:p>
      <w:pPr>
        <w:pStyle w:val="4"/>
        <w:ind w:firstLine="600"/>
        <w:jc w:val="left"/>
        <w:rPr>
          <w:szCs w:val="30"/>
        </w:rPr>
      </w:pPr>
      <w:bookmarkStart w:id="78" w:name="_Toc2835"/>
      <w:bookmarkStart w:id="79" w:name="_Toc465942566"/>
      <w:bookmarkStart w:id="80" w:name="_Toc14018"/>
      <w:bookmarkStart w:id="81" w:name="_Toc1631"/>
      <w:bookmarkStart w:id="82" w:name="_Toc469592770"/>
      <w:bookmarkStart w:id="83" w:name="_Toc30628"/>
      <w:r>
        <w:rPr>
          <w:rFonts w:hint="eastAsia"/>
          <w:szCs w:val="30"/>
        </w:rPr>
        <w:t>二、面临挑战</w:t>
      </w:r>
      <w:bookmarkEnd w:id="76"/>
      <w:bookmarkEnd w:id="77"/>
      <w:bookmarkEnd w:id="78"/>
      <w:bookmarkEnd w:id="79"/>
      <w:bookmarkEnd w:id="80"/>
      <w:bookmarkEnd w:id="81"/>
      <w:bookmarkEnd w:id="82"/>
      <w:bookmarkEnd w:id="83"/>
    </w:p>
    <w:p>
      <w:pPr>
        <w:ind w:firstLine="560"/>
        <w:rPr>
          <w:b/>
        </w:rPr>
      </w:pPr>
      <w:r>
        <w:rPr>
          <w:rFonts w:hint="eastAsia"/>
          <w:b/>
        </w:rPr>
        <w:t>（一）技术水平落后，资源再生和循环利用率低</w:t>
      </w:r>
    </w:p>
    <w:p>
      <w:pPr>
        <w:ind w:firstLine="560"/>
      </w:pPr>
      <w:r>
        <w:rPr>
          <w:rFonts w:hint="eastAsia"/>
        </w:rPr>
        <w:t>桂林市总体经济实力相对较弱，循环经济发展基础较薄弱，主要体现在资源利用率与国际、国内先进水平相比仍然较低，资源产出率不高、资源再生和循环利用率较低等；另一方面，循环经济的发展需要具有较为完整的产业链，只有实现规模经济，循环经济才能得以发展，才能将产业链尽可能延长和完善。经济建设必须</w:t>
      </w:r>
      <w:r>
        <w:t>着力在优结构、增动力、补短板</w:t>
      </w:r>
      <w:r>
        <w:rPr>
          <w:rFonts w:hint="eastAsia"/>
        </w:rPr>
        <w:t>上</w:t>
      </w:r>
      <w:r>
        <w:t>下功夫，努力发展</w:t>
      </w:r>
      <w:r>
        <w:rPr>
          <w:rFonts w:hint="eastAsia"/>
        </w:rPr>
        <w:t>具有桂林特色的循环经济体系</w:t>
      </w:r>
      <w:r>
        <w:t>。</w:t>
      </w:r>
    </w:p>
    <w:p>
      <w:pPr>
        <w:ind w:firstLine="560"/>
        <w:rPr>
          <w:b/>
        </w:rPr>
      </w:pPr>
      <w:r>
        <w:rPr>
          <w:rFonts w:hint="eastAsia"/>
          <w:b/>
        </w:rPr>
        <w:t>（二）旅游胜地建设对循环经济发展提出更高要求</w:t>
      </w:r>
    </w:p>
    <w:p>
      <w:pPr>
        <w:ind w:firstLine="560"/>
      </w:pPr>
      <w:r>
        <w:rPr>
          <w:rFonts w:hint="eastAsia"/>
        </w:rPr>
        <w:t>桂林市作为一个旅游城市，虽然资源禀赋优越，但生态脆弱性突出，旅游胜地建设对于自然风光环境质量把控的要求十分高，而同时山水景观资源对环境污染也十分敏感，因此发展循环经济时，在生态承载力的基础上，产业集群化、能耗、排污等相关要求应该更高。</w:t>
      </w:r>
    </w:p>
    <w:p>
      <w:pPr>
        <w:ind w:firstLine="560"/>
        <w:rPr>
          <w:b/>
        </w:rPr>
      </w:pPr>
      <w:r>
        <w:rPr>
          <w:rFonts w:hint="eastAsia"/>
          <w:b/>
        </w:rPr>
        <w:t>（三）历史遗留问题较多，资源环境治理难度加大</w:t>
      </w:r>
    </w:p>
    <w:p>
      <w:pPr>
        <w:ind w:firstLine="560"/>
      </w:pPr>
      <w:r>
        <w:rPr>
          <w:rFonts w:hint="eastAsia"/>
        </w:rPr>
        <w:t>桂林市循环经济发展起步时间相对较晚，造成此前局部地区、个别企业对源头污染控制不严，环境污染还较为严重，县域环境保护基础设施不足。前期工业污染所留下的后遗症使现今循环经济健康发展存在先天不足，对未来循环经济工作造成一定挑战。</w:t>
      </w:r>
    </w:p>
    <w:p>
      <w:pPr>
        <w:pStyle w:val="2"/>
        <w:jc w:val="both"/>
        <w:rPr>
          <w:rFonts w:eastAsia="仿宋"/>
          <w:sz w:val="30"/>
          <w:szCs w:val="30"/>
        </w:rPr>
        <w:sectPr>
          <w:footerReference r:id="rId12" w:type="default"/>
          <w:footnotePr>
            <w:numFmt w:val="decimalEnclosedCircleChinese"/>
          </w:footnotePr>
          <w:pgSz w:w="11906" w:h="16838"/>
          <w:pgMar w:top="1440" w:right="1800" w:bottom="1440" w:left="1800" w:header="851" w:footer="992" w:gutter="0"/>
          <w:pgNumType w:start="1"/>
          <w:cols w:space="425" w:num="1"/>
          <w:docGrid w:type="lines" w:linePitch="312" w:charSpace="0"/>
        </w:sectPr>
      </w:pPr>
    </w:p>
    <w:p>
      <w:pPr>
        <w:pStyle w:val="2"/>
      </w:pPr>
      <w:bookmarkStart w:id="84" w:name="_Toc20367"/>
      <w:bookmarkStart w:id="85" w:name="_Toc465942567"/>
      <w:bookmarkStart w:id="86" w:name="_Toc454737399"/>
      <w:bookmarkStart w:id="87" w:name="_Toc5756"/>
      <w:bookmarkStart w:id="88" w:name="_Toc30133"/>
      <w:bookmarkStart w:id="89" w:name="_Toc461547618"/>
      <w:bookmarkStart w:id="90" w:name="_Toc8260"/>
      <w:bookmarkStart w:id="91" w:name="_Toc469592771"/>
      <w:bookmarkStart w:id="92" w:name="_Toc2142"/>
      <w:r>
        <w:rPr>
          <w:rFonts w:hint="eastAsia"/>
        </w:rPr>
        <w:t>第二章 总体思路与发展目标</w:t>
      </w:r>
      <w:bookmarkEnd w:id="84"/>
      <w:bookmarkEnd w:id="85"/>
      <w:bookmarkEnd w:id="86"/>
      <w:bookmarkEnd w:id="87"/>
      <w:bookmarkEnd w:id="88"/>
      <w:bookmarkEnd w:id="89"/>
      <w:bookmarkEnd w:id="90"/>
      <w:bookmarkEnd w:id="91"/>
      <w:bookmarkEnd w:id="92"/>
    </w:p>
    <w:p>
      <w:pPr>
        <w:pStyle w:val="3"/>
      </w:pPr>
      <w:bookmarkStart w:id="93" w:name="_Toc3743"/>
      <w:bookmarkStart w:id="94" w:name="_Toc11440"/>
      <w:bookmarkStart w:id="95" w:name="_Toc454737400"/>
      <w:bookmarkStart w:id="96" w:name="_Toc469592772"/>
      <w:bookmarkStart w:id="97" w:name="_Toc31732"/>
      <w:bookmarkStart w:id="98" w:name="_Toc15565"/>
      <w:bookmarkStart w:id="99" w:name="_Toc16748"/>
      <w:bookmarkStart w:id="100" w:name="_Toc465942568"/>
      <w:bookmarkStart w:id="101" w:name="_Toc461547619"/>
      <w:r>
        <w:rPr>
          <w:rFonts w:hint="eastAsia"/>
        </w:rPr>
        <w:t>第一节 指导思想</w:t>
      </w:r>
      <w:bookmarkEnd w:id="93"/>
      <w:bookmarkEnd w:id="94"/>
      <w:bookmarkEnd w:id="95"/>
      <w:bookmarkEnd w:id="96"/>
      <w:bookmarkEnd w:id="97"/>
      <w:bookmarkEnd w:id="98"/>
      <w:bookmarkEnd w:id="99"/>
      <w:bookmarkEnd w:id="100"/>
      <w:bookmarkEnd w:id="101"/>
    </w:p>
    <w:p>
      <w:pPr>
        <w:ind w:firstLine="560"/>
      </w:pPr>
      <w:r>
        <w:rPr>
          <w:rFonts w:hint="eastAsia"/>
        </w:rPr>
        <w:t>坚持以邓小平理论、“三个代表”重要思想和科学发展观为指导，贯彻落实党的十八大、十八届三中、四中、五中全会以及习近平总书记系列重要讲话精神，</w:t>
      </w:r>
      <w:r>
        <w:t>牢固树立创新、协调、绿色、开放、共享发展理念，</w:t>
      </w:r>
      <w:r>
        <w:rPr>
          <w:rFonts w:hint="eastAsia"/>
        </w:rPr>
        <w:t>紧紧围绕全面建成小康社会和基本建成桂林国际旅游胜地“两个建成”目标，坚持以资源的循环利用为核心，遵循减量化、再利用、资源化的原则，以提高资源利用效率为目的，以延伸产业链和建立耦合共生关系为切入点，以技术创新和制度创新为动力，着力打造多元化、多层次的循环产业链，建立集循环型企业、循环型园区、循环型产业和循环型社会四位一体的循环经济体系和节约型社会，把桂林市建设成为国家低碳城市试点市和高端循环型旅游城市。</w:t>
      </w:r>
    </w:p>
    <w:p>
      <w:pPr>
        <w:pStyle w:val="3"/>
      </w:pPr>
      <w:bookmarkStart w:id="102" w:name="_Toc469592773"/>
      <w:bookmarkStart w:id="103" w:name="_Toc465942569"/>
      <w:bookmarkStart w:id="104" w:name="_Toc31386"/>
      <w:bookmarkStart w:id="105" w:name="_Toc21762"/>
      <w:bookmarkStart w:id="106" w:name="_Toc454737401"/>
      <w:bookmarkStart w:id="107" w:name="_Toc461547620"/>
      <w:bookmarkStart w:id="108" w:name="_Toc3233"/>
      <w:bookmarkStart w:id="109" w:name="_Toc5838"/>
      <w:bookmarkStart w:id="110" w:name="_Toc21877"/>
      <w:r>
        <w:rPr>
          <w:rFonts w:hint="eastAsia"/>
        </w:rPr>
        <w:t>第二节 基本原则</w:t>
      </w:r>
      <w:bookmarkEnd w:id="102"/>
      <w:bookmarkEnd w:id="103"/>
      <w:bookmarkEnd w:id="104"/>
      <w:bookmarkEnd w:id="105"/>
      <w:bookmarkEnd w:id="106"/>
      <w:bookmarkEnd w:id="107"/>
      <w:bookmarkEnd w:id="108"/>
      <w:bookmarkEnd w:id="109"/>
      <w:bookmarkEnd w:id="110"/>
    </w:p>
    <w:p>
      <w:pPr>
        <w:ind w:firstLine="560"/>
      </w:pPr>
      <w:r>
        <w:rPr>
          <w:b/>
          <w:bCs/>
        </w:rPr>
        <w:t>1</w:t>
      </w:r>
      <w:r>
        <w:rPr>
          <w:rFonts w:hint="eastAsia"/>
          <w:b/>
          <w:bCs/>
        </w:rPr>
        <w:t>.统筹规划、优化布局。</w:t>
      </w:r>
      <w:r>
        <w:t>按照统筹规划、循序渐进、优化布局的原则，</w:t>
      </w:r>
      <w:r>
        <w:rPr>
          <w:rFonts w:hint="eastAsia"/>
        </w:rPr>
        <w:t>实施循环发展引领计划，</w:t>
      </w:r>
      <w:r>
        <w:t>在生产、流通、消费领域牢固树立循环经济理念，形成布局合理、互动发展、协调推进的</w:t>
      </w:r>
      <w:r>
        <w:rPr>
          <w:rFonts w:hint="eastAsia"/>
        </w:rPr>
        <w:t>产业</w:t>
      </w:r>
      <w:r>
        <w:t>循环经济发展格局。</w:t>
      </w:r>
    </w:p>
    <w:p>
      <w:pPr>
        <w:ind w:firstLine="560"/>
      </w:pPr>
      <w:r>
        <w:rPr>
          <w:b/>
          <w:bCs/>
        </w:rPr>
        <w:t>2</w:t>
      </w:r>
      <w:r>
        <w:rPr>
          <w:rFonts w:hint="eastAsia"/>
          <w:b/>
          <w:bCs/>
        </w:rPr>
        <w:t>.政府引导、市场推动。</w:t>
      </w:r>
      <w:r>
        <w:t>充分发挥市场配置资源的</w:t>
      </w:r>
      <w:r>
        <w:rPr>
          <w:rFonts w:hint="eastAsia"/>
        </w:rPr>
        <w:t>决定性</w:t>
      </w:r>
      <w:r>
        <w:t>作用，突出企业主体作用</w:t>
      </w:r>
      <w:r>
        <w:rPr>
          <w:rFonts w:hint="eastAsia"/>
        </w:rPr>
        <w:t>；切实</w:t>
      </w:r>
      <w:r>
        <w:t>加强供给侧结构性改革，积极运用法律法规、产业政策、价格政策、财税金融政策</w:t>
      </w:r>
      <w:r>
        <w:rPr>
          <w:rFonts w:hint="eastAsia"/>
        </w:rPr>
        <w:t>等</w:t>
      </w:r>
      <w:r>
        <w:t>手段</w:t>
      </w:r>
      <w:r>
        <w:rPr>
          <w:rFonts w:hint="eastAsia"/>
        </w:rPr>
        <w:t>，提高供给体系质量和效率。</w:t>
      </w:r>
    </w:p>
    <w:p>
      <w:pPr>
        <w:ind w:firstLine="560"/>
      </w:pPr>
      <w:r>
        <w:rPr>
          <w:b/>
          <w:bCs/>
        </w:rPr>
        <w:t>3</w:t>
      </w:r>
      <w:r>
        <w:rPr>
          <w:rFonts w:hint="eastAsia"/>
          <w:b/>
          <w:bCs/>
        </w:rPr>
        <w:t>.注重创新，完善机制。</w:t>
      </w:r>
      <w:r>
        <w:t>建立</w:t>
      </w:r>
      <w:r>
        <w:rPr>
          <w:rFonts w:hint="eastAsia"/>
        </w:rPr>
        <w:t>健全</w:t>
      </w:r>
      <w:r>
        <w:t>发展循环经济的激励机制和约束机制，</w:t>
      </w:r>
      <w:r>
        <w:rPr>
          <w:rFonts w:hint="eastAsia"/>
        </w:rPr>
        <w:t>健全法规标准，完善经济政策，坚持</w:t>
      </w:r>
      <w:r>
        <w:t>科技创新</w:t>
      </w:r>
      <w:r>
        <w:rPr>
          <w:rFonts w:hint="eastAsia"/>
        </w:rPr>
        <w:t>和制度创新并举。</w:t>
      </w:r>
      <w:r>
        <w:t>建立完善与循环经济发展相适应的科技创新机制和技术支撑体系</w:t>
      </w:r>
      <w:r>
        <w:rPr>
          <w:rFonts w:hint="eastAsia"/>
        </w:rPr>
        <w:t>，</w:t>
      </w:r>
      <w:r>
        <w:t>发挥制度创新对循环经济发展的促进作用</w:t>
      </w:r>
      <w:r>
        <w:rPr>
          <w:rFonts w:hint="eastAsia"/>
        </w:rPr>
        <w:t>，</w:t>
      </w:r>
      <w:r>
        <w:t>通过制度创新改变生产者和消费者行为。</w:t>
      </w:r>
    </w:p>
    <w:p>
      <w:pPr>
        <w:ind w:firstLine="560"/>
      </w:pPr>
      <w:r>
        <w:rPr>
          <w:b/>
          <w:bCs/>
        </w:rPr>
        <w:t>4</w:t>
      </w:r>
      <w:r>
        <w:rPr>
          <w:rFonts w:hint="eastAsia"/>
          <w:b/>
          <w:bCs/>
        </w:rPr>
        <w:t>.示范引领，全面推进。</w:t>
      </w:r>
      <w:r>
        <w:t>发挥</w:t>
      </w:r>
      <w:r>
        <w:rPr>
          <w:rFonts w:hint="eastAsia"/>
        </w:rPr>
        <w:t>循环经济先进</w:t>
      </w:r>
      <w:r>
        <w:t>企业示范带动作用，</w:t>
      </w:r>
      <w:r>
        <w:rPr>
          <w:rFonts w:hint="eastAsia"/>
        </w:rPr>
        <w:t>在农业、工业、服务业各产业，城市、园区、企业各层面，生产、流通、消费各环节培育一批循环经济示范典型，</w:t>
      </w:r>
      <w:r>
        <w:t>加快循环经济由试点向示范推广转变</w:t>
      </w:r>
      <w:r>
        <w:rPr>
          <w:rFonts w:hint="eastAsia"/>
        </w:rPr>
        <w:t>，</w:t>
      </w:r>
      <w:r>
        <w:t>推动</w:t>
      </w:r>
      <w:r>
        <w:rPr>
          <w:rFonts w:hint="eastAsia"/>
        </w:rPr>
        <w:t>全市</w:t>
      </w:r>
      <w:r>
        <w:t>循环经济规模化、产业化发展。</w:t>
      </w:r>
    </w:p>
    <w:p>
      <w:pPr>
        <w:pStyle w:val="3"/>
      </w:pPr>
      <w:bookmarkStart w:id="111" w:name="_Toc27736"/>
      <w:bookmarkStart w:id="112" w:name="_Toc461547621"/>
      <w:bookmarkStart w:id="113" w:name="_Toc469592774"/>
      <w:bookmarkStart w:id="114" w:name="_Toc465942570"/>
      <w:bookmarkStart w:id="115" w:name="_Toc5225"/>
      <w:bookmarkStart w:id="116" w:name="_Toc454737402"/>
      <w:bookmarkStart w:id="117" w:name="_Toc13415"/>
      <w:bookmarkStart w:id="118" w:name="_Toc883"/>
      <w:bookmarkStart w:id="119" w:name="_Toc24598"/>
      <w:r>
        <w:rPr>
          <w:rFonts w:hint="eastAsia"/>
        </w:rPr>
        <w:t>第三节 发展目标</w:t>
      </w:r>
      <w:bookmarkEnd w:id="111"/>
      <w:bookmarkEnd w:id="112"/>
      <w:bookmarkEnd w:id="113"/>
      <w:bookmarkEnd w:id="114"/>
      <w:bookmarkEnd w:id="115"/>
      <w:bookmarkEnd w:id="116"/>
      <w:bookmarkEnd w:id="117"/>
      <w:bookmarkEnd w:id="118"/>
      <w:bookmarkEnd w:id="119"/>
    </w:p>
    <w:p>
      <w:pPr>
        <w:pStyle w:val="4"/>
        <w:ind w:firstLine="600"/>
      </w:pPr>
      <w:bookmarkStart w:id="120" w:name="_Toc469592775"/>
      <w:bookmarkStart w:id="121" w:name="_Toc461547622"/>
      <w:bookmarkStart w:id="122" w:name="_Toc438"/>
      <w:bookmarkStart w:id="123" w:name="_Toc454737403"/>
      <w:bookmarkStart w:id="124" w:name="_Toc465942571"/>
      <w:bookmarkStart w:id="125" w:name="_Toc23524"/>
      <w:bookmarkStart w:id="126" w:name="_Toc26869"/>
      <w:bookmarkStart w:id="127" w:name="_Toc1164"/>
      <w:r>
        <w:rPr>
          <w:rFonts w:hint="eastAsia"/>
        </w:rPr>
        <w:t>一、总体目标</w:t>
      </w:r>
      <w:bookmarkEnd w:id="120"/>
      <w:bookmarkEnd w:id="121"/>
      <w:bookmarkEnd w:id="122"/>
      <w:bookmarkEnd w:id="123"/>
      <w:bookmarkEnd w:id="124"/>
      <w:bookmarkEnd w:id="125"/>
      <w:bookmarkEnd w:id="126"/>
      <w:bookmarkEnd w:id="127"/>
    </w:p>
    <w:p>
      <w:pPr>
        <w:ind w:firstLine="560"/>
      </w:pPr>
      <w:r>
        <w:rPr>
          <w:rFonts w:hint="eastAsia"/>
        </w:rPr>
        <w:t>到2020年，桂林市资源产出率进一步提高，循环型生产方式广泛推行，绿色消费模式普及推广，覆盖全社会的资源利用体系初步建立，循环经济总体发展水平继续保持全区前列。</w:t>
      </w:r>
    </w:p>
    <w:p>
      <w:pPr>
        <w:ind w:firstLine="560"/>
      </w:pPr>
      <w:r>
        <w:rPr>
          <w:rFonts w:hint="eastAsia"/>
          <w:b/>
          <w:bCs/>
        </w:rPr>
        <w:t>循环经济产业体系基本完善。</w:t>
      </w:r>
      <w:r>
        <w:rPr>
          <w:rFonts w:hint="eastAsia"/>
        </w:rPr>
        <w:t>循环经济产业链逐步构建完善，三次产业循环经济互动互补、互相促进，工业循环经济发展规模进一步扩大，农业循环经济发展层次进一步提升，服务业循环经济发展领域进一步拓展，循环型生产方式加快推行，实现企业循环式生产、产业循环式组合、园区循环式改造产业间、区域间、城乡间循环经济协同发展格局基本形成。到2020年，建成2个自治区级及以上循环经济型园区。</w:t>
      </w:r>
    </w:p>
    <w:p>
      <w:pPr>
        <w:ind w:firstLine="560"/>
      </w:pPr>
      <w:r>
        <w:rPr>
          <w:rFonts w:hint="eastAsia"/>
          <w:b/>
        </w:rPr>
        <w:t>资源循环利用效率大幅提高。</w:t>
      </w:r>
      <w:r>
        <w:rPr>
          <w:rFonts w:hint="eastAsia"/>
        </w:rPr>
        <w:t>农业、工业企业及重点商贸服务企业普遍推广清洁生产，“十三五”时期累计通过清洁生产效果评估验收的企业新增100家。资源能源消耗大幅度降低，节能、节水、节电、节材工作取得较大进展，再生资源循环利用水平继续保持全国领先。到2020年，单位生产总值能耗完成自治区下达目标，万元生产总值用水量下降到115吨</w:t>
      </w:r>
      <w:r>
        <w:t>/</w:t>
      </w:r>
      <w:r>
        <w:rPr>
          <w:rFonts w:hint="eastAsia"/>
        </w:rPr>
        <w:t>万元。</w:t>
      </w:r>
    </w:p>
    <w:p>
      <w:pPr>
        <w:ind w:firstLine="560"/>
      </w:pPr>
      <w:r>
        <w:rPr>
          <w:rFonts w:hint="eastAsia"/>
          <w:b/>
        </w:rPr>
        <w:t>循环型社会建设取得新进展。</w:t>
      </w:r>
      <w:r>
        <w:rPr>
          <w:rFonts w:hint="eastAsia"/>
        </w:rPr>
        <w:t>建立较为完善的、覆盖全社会的资源循环利用体系，产业废弃物和城市典型废弃物资源化利用水平不断提高。绿色消费理念深入人心，节约能源资源和环境保护的生产方式和消费模式得到全面推广，绿色建筑、绿色出行有效普及。到 2020 年，桂林市城市生活垃圾资源化利用比例达95%，工业固体废弃物综合利用率达到 94.5%，农作物秸秆综合利用率达到 90%。</w:t>
      </w:r>
    </w:p>
    <w:p>
      <w:pPr>
        <w:pStyle w:val="4"/>
        <w:ind w:firstLine="600"/>
        <w:rPr>
          <w:szCs w:val="30"/>
        </w:rPr>
      </w:pPr>
      <w:bookmarkStart w:id="128" w:name="_Toc469592776"/>
      <w:bookmarkStart w:id="129" w:name="_Toc11392"/>
      <w:bookmarkStart w:id="130" w:name="_Toc28882"/>
      <w:bookmarkStart w:id="131" w:name="_Toc461547623"/>
      <w:bookmarkStart w:id="132" w:name="_Toc10524"/>
      <w:bookmarkStart w:id="133" w:name="_Toc27867"/>
      <w:bookmarkStart w:id="134" w:name="_Toc465942572"/>
      <w:bookmarkStart w:id="135" w:name="_Toc454737404"/>
      <w:r>
        <w:rPr>
          <w:rFonts w:hint="eastAsia"/>
          <w:szCs w:val="30"/>
        </w:rPr>
        <w:t>二、指标体系与目标值</w:t>
      </w:r>
      <w:bookmarkEnd w:id="128"/>
      <w:bookmarkEnd w:id="129"/>
      <w:bookmarkEnd w:id="130"/>
      <w:bookmarkEnd w:id="131"/>
      <w:bookmarkEnd w:id="132"/>
      <w:bookmarkEnd w:id="133"/>
      <w:bookmarkEnd w:id="134"/>
      <w:bookmarkEnd w:id="135"/>
    </w:p>
    <w:p>
      <w:pPr>
        <w:ind w:firstLine="0" w:firstLineChars="0"/>
        <w:jc w:val="center"/>
        <w:rPr>
          <w:rFonts w:eastAsia="黑体"/>
          <w:sz w:val="24"/>
          <w:szCs w:val="30"/>
        </w:rPr>
      </w:pPr>
      <w:r>
        <w:rPr>
          <w:rFonts w:hint="eastAsia" w:eastAsia="黑体"/>
          <w:sz w:val="24"/>
          <w:szCs w:val="30"/>
        </w:rPr>
        <w:t>表</w:t>
      </w:r>
      <w:r>
        <w:rPr>
          <w:rFonts w:eastAsia="黑体"/>
          <w:sz w:val="24"/>
          <w:szCs w:val="30"/>
        </w:rPr>
        <w:t>2-1</w:t>
      </w:r>
      <w:r>
        <w:rPr>
          <w:rFonts w:hint="eastAsia" w:eastAsia="黑体"/>
          <w:sz w:val="24"/>
          <w:szCs w:val="30"/>
        </w:rPr>
        <w:t>：桂林市循环经济发展指标体系</w:t>
      </w:r>
    </w:p>
    <w:tbl>
      <w:tblPr>
        <w:tblStyle w:val="38"/>
        <w:tblW w:w="832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96"/>
        <w:gridCol w:w="1767"/>
        <w:gridCol w:w="1433"/>
        <w:gridCol w:w="14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b/>
                <w:kern w:val="0"/>
                <w:sz w:val="24"/>
                <w:szCs w:val="24"/>
              </w:rPr>
            </w:pPr>
            <w:r>
              <w:rPr>
                <w:rFonts w:hint="eastAsia" w:cs="宋体"/>
                <w:b/>
                <w:kern w:val="0"/>
                <w:sz w:val="24"/>
                <w:szCs w:val="24"/>
              </w:rPr>
              <w:t>指标名称</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b/>
                <w:kern w:val="0"/>
                <w:sz w:val="24"/>
                <w:szCs w:val="24"/>
              </w:rPr>
            </w:pPr>
            <w:r>
              <w:rPr>
                <w:rFonts w:hint="eastAsia" w:cs="宋体"/>
                <w:b/>
                <w:kern w:val="0"/>
                <w:sz w:val="24"/>
                <w:szCs w:val="24"/>
              </w:rPr>
              <w:t>单位</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b/>
                <w:kern w:val="0"/>
                <w:sz w:val="24"/>
                <w:szCs w:val="24"/>
              </w:rPr>
            </w:pPr>
            <w:r>
              <w:rPr>
                <w:rFonts w:cs="宋体"/>
                <w:b/>
                <w:kern w:val="0"/>
                <w:sz w:val="24"/>
                <w:szCs w:val="24"/>
              </w:rPr>
              <w:t>2015</w:t>
            </w:r>
            <w:r>
              <w:rPr>
                <w:rFonts w:hint="eastAsia" w:cs="宋体"/>
                <w:b/>
                <w:kern w:val="0"/>
                <w:sz w:val="24"/>
                <w:szCs w:val="24"/>
              </w:rPr>
              <w:t>年</w:t>
            </w:r>
          </w:p>
          <w:p>
            <w:pPr>
              <w:widowControl/>
              <w:spacing w:line="240" w:lineRule="auto"/>
              <w:ind w:firstLine="0" w:firstLineChars="0"/>
              <w:jc w:val="center"/>
              <w:rPr>
                <w:rFonts w:cs="宋体"/>
                <w:b/>
                <w:kern w:val="0"/>
                <w:sz w:val="24"/>
                <w:szCs w:val="24"/>
              </w:rPr>
            </w:pPr>
            <w:r>
              <w:rPr>
                <w:rFonts w:hint="eastAsia" w:cs="宋体"/>
                <w:b/>
                <w:kern w:val="0"/>
                <w:sz w:val="24"/>
                <w:szCs w:val="24"/>
              </w:rPr>
              <w:t>实际值</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b/>
                <w:kern w:val="0"/>
                <w:sz w:val="24"/>
                <w:szCs w:val="24"/>
              </w:rPr>
            </w:pPr>
            <w:r>
              <w:rPr>
                <w:rFonts w:cs="宋体"/>
                <w:b/>
                <w:kern w:val="0"/>
                <w:sz w:val="24"/>
                <w:szCs w:val="24"/>
              </w:rPr>
              <w:t>2020</w:t>
            </w:r>
            <w:r>
              <w:rPr>
                <w:rFonts w:hint="eastAsia" w:cs="宋体"/>
                <w:b/>
                <w:kern w:val="0"/>
                <w:sz w:val="24"/>
                <w:szCs w:val="24"/>
              </w:rPr>
              <w:t>年</w:t>
            </w:r>
          </w:p>
          <w:p>
            <w:pPr>
              <w:widowControl/>
              <w:spacing w:line="240" w:lineRule="auto"/>
              <w:ind w:firstLine="0" w:firstLineChars="0"/>
              <w:jc w:val="center"/>
              <w:rPr>
                <w:rFonts w:cs="宋体"/>
                <w:b/>
                <w:kern w:val="0"/>
                <w:sz w:val="24"/>
                <w:szCs w:val="24"/>
              </w:rPr>
            </w:pPr>
            <w:r>
              <w:rPr>
                <w:rFonts w:hint="eastAsia" w:cs="宋体"/>
                <w:b/>
                <w:kern w:val="0"/>
                <w:sz w:val="24"/>
                <w:szCs w:val="24"/>
              </w:rPr>
              <w:t>目标值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能源产出率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万元</w:t>
            </w:r>
            <w:r>
              <w:rPr>
                <w:rFonts w:cs="宋体"/>
                <w:kern w:val="0"/>
                <w:sz w:val="24"/>
                <w:szCs w:val="24"/>
              </w:rPr>
              <w:t>/</w:t>
            </w:r>
            <w:r>
              <w:rPr>
                <w:rFonts w:hint="eastAsia" w:cs="宋体"/>
                <w:kern w:val="0"/>
                <w:sz w:val="24"/>
                <w:szCs w:val="24"/>
              </w:rPr>
              <w:t>吨标准煤</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1.176</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1.92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水资源产出率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元</w:t>
            </w:r>
            <w:r>
              <w:rPr>
                <w:rFonts w:cs="宋体"/>
                <w:kern w:val="0"/>
                <w:sz w:val="24"/>
                <w:szCs w:val="24"/>
              </w:rPr>
              <w:t>/</w:t>
            </w:r>
            <w:r>
              <w:rPr>
                <w:rFonts w:hint="eastAsia" w:cs="宋体"/>
                <w:kern w:val="0"/>
                <w:sz w:val="24"/>
                <w:szCs w:val="24"/>
              </w:rPr>
              <w:t>立方米</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47.62</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86.96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建设用地土地产出率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万元</w:t>
            </w:r>
            <w:r>
              <w:rPr>
                <w:rFonts w:cs="宋体"/>
                <w:kern w:val="0"/>
                <w:sz w:val="24"/>
                <w:szCs w:val="24"/>
              </w:rPr>
              <w:t>/</w:t>
            </w:r>
            <w:r>
              <w:rPr>
                <w:rFonts w:hint="eastAsia" w:cs="宋体"/>
                <w:kern w:val="0"/>
                <w:sz w:val="24"/>
                <w:szCs w:val="24"/>
              </w:rPr>
              <w:t>亩</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64.77</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110.13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单位生产总值能耗</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吨标煤</w:t>
            </w:r>
            <w:r>
              <w:rPr>
                <w:rFonts w:cs="宋体"/>
                <w:kern w:val="0"/>
                <w:sz w:val="24"/>
                <w:szCs w:val="24"/>
              </w:rPr>
              <w:t>/</w:t>
            </w:r>
            <w:r>
              <w:rPr>
                <w:rFonts w:hint="eastAsia" w:cs="宋体"/>
                <w:kern w:val="0"/>
                <w:sz w:val="24"/>
                <w:szCs w:val="24"/>
              </w:rPr>
              <w:t>万元</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0.56</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完成自治区下达目标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万元生产总值用水量</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吨</w:t>
            </w:r>
            <w:r>
              <w:rPr>
                <w:rFonts w:cs="宋体"/>
                <w:kern w:val="0"/>
                <w:sz w:val="24"/>
                <w:szCs w:val="24"/>
              </w:rPr>
              <w:t>/</w:t>
            </w:r>
            <w:r>
              <w:rPr>
                <w:rFonts w:hint="eastAsia" w:cs="宋体"/>
                <w:kern w:val="0"/>
                <w:sz w:val="24"/>
                <w:szCs w:val="24"/>
              </w:rPr>
              <w:t>万元</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210</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115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农业灌溉水有效利用系数</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比值</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0.45</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工业用水重复利用率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92</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市区生活污水集中处理率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93.5</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kern w:val="0"/>
                <w:sz w:val="24"/>
                <w:szCs w:val="24"/>
              </w:rPr>
            </w:pPr>
            <w:r>
              <w:rPr>
                <w:rFonts w:hint="eastAsia"/>
                <w:kern w:val="0"/>
                <w:sz w:val="24"/>
                <w:szCs w:val="24"/>
              </w:rPr>
              <w:t>工业固体废物综合利用率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kern w:val="0"/>
                <w:sz w:val="24"/>
                <w:szCs w:val="24"/>
              </w:rPr>
            </w:pPr>
            <w:r>
              <w:rPr>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kern w:val="0"/>
                <w:sz w:val="24"/>
                <w:szCs w:val="24"/>
              </w:rPr>
            </w:pPr>
            <w:r>
              <w:rPr>
                <w:kern w:val="0"/>
                <w:sz w:val="24"/>
                <w:szCs w:val="24"/>
              </w:rPr>
              <w:t>85</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kern w:val="0"/>
                <w:sz w:val="24"/>
                <w:szCs w:val="24"/>
              </w:rPr>
            </w:pPr>
            <w:r>
              <w:rPr>
                <w:kern w:val="0"/>
                <w:sz w:val="24"/>
                <w:szCs w:val="24"/>
              </w:rPr>
              <w:t>94.5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主要再生资源回收利用率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kern w:val="0"/>
                <w:sz w:val="24"/>
                <w:szCs w:val="24"/>
              </w:rPr>
              <w:t>50</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kern w:val="0"/>
                <w:sz w:val="24"/>
                <w:szCs w:val="24"/>
              </w:rPr>
              <w:t>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城镇生活垃圾无害化处理率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75</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非化石能源占一次能源消费比重</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29.7</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完成自治区下达目标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资源综合利用发电总装机容量</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万千瓦</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145.20</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280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农作物秸秆综合利用率</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85.4</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自治区级以上循环经济园区</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个</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0</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市级循环经济园区</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个</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0</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全国工业循环经济示范企业</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家</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1</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cs="宋体"/>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696"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rPr>
                <w:rFonts w:cs="宋体"/>
                <w:kern w:val="0"/>
                <w:sz w:val="24"/>
                <w:szCs w:val="24"/>
              </w:rPr>
            </w:pPr>
            <w:r>
              <w:rPr>
                <w:rFonts w:hint="eastAsia" w:cs="宋体"/>
                <w:kern w:val="0"/>
                <w:sz w:val="24"/>
                <w:szCs w:val="24"/>
              </w:rPr>
              <w:t>通过清洁生产实施效果</w:t>
            </w:r>
          </w:p>
          <w:p>
            <w:pPr>
              <w:widowControl/>
              <w:spacing w:line="240" w:lineRule="auto"/>
              <w:ind w:firstLine="0" w:firstLineChars="0"/>
              <w:rPr>
                <w:rFonts w:cs="宋体"/>
                <w:kern w:val="0"/>
                <w:sz w:val="24"/>
                <w:szCs w:val="24"/>
              </w:rPr>
            </w:pPr>
            <w:r>
              <w:rPr>
                <w:rFonts w:hint="eastAsia" w:cs="宋体"/>
                <w:kern w:val="0"/>
                <w:sz w:val="24"/>
                <w:szCs w:val="24"/>
              </w:rPr>
              <w:t>评估验收企业</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家</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cs="宋体"/>
                <w:kern w:val="0"/>
                <w:sz w:val="24"/>
                <w:szCs w:val="24"/>
              </w:rPr>
            </w:pPr>
            <w:r>
              <w:rPr>
                <w:rFonts w:cs="宋体"/>
                <w:kern w:val="0"/>
                <w:sz w:val="24"/>
                <w:szCs w:val="24"/>
              </w:rPr>
              <w:t>114</w:t>
            </w:r>
          </w:p>
        </w:tc>
        <w:tc>
          <w:tcPr>
            <w:tcW w:w="1433"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新增</w:t>
            </w:r>
            <w:r>
              <w:rPr>
                <w:rFonts w:cs="宋体"/>
                <w:kern w:val="0"/>
                <w:sz w:val="24"/>
                <w:szCs w:val="24"/>
              </w:rPr>
              <w:t>100</w:t>
            </w:r>
          </w:p>
        </w:tc>
      </w:tr>
    </w:tbl>
    <w:p>
      <w:pPr>
        <w:ind w:firstLine="560"/>
        <w:sectPr>
          <w:pgSz w:w="11906" w:h="16838"/>
          <w:pgMar w:top="1440" w:right="1800" w:bottom="1440" w:left="1800" w:header="851" w:footer="992" w:gutter="0"/>
          <w:cols w:space="425" w:num="1"/>
          <w:docGrid w:type="lines" w:linePitch="312" w:charSpace="0"/>
        </w:sectPr>
      </w:pPr>
      <w:bookmarkStart w:id="136" w:name="_Toc465942573"/>
      <w:bookmarkStart w:id="137" w:name="_Toc461547628"/>
      <w:bookmarkStart w:id="138" w:name="_Toc454737409"/>
    </w:p>
    <w:p>
      <w:pPr>
        <w:pStyle w:val="2"/>
      </w:pPr>
      <w:bookmarkStart w:id="139" w:name="_Toc3262"/>
      <w:bookmarkStart w:id="140" w:name="_Toc30091"/>
      <w:bookmarkStart w:id="141" w:name="_Toc16384"/>
      <w:bookmarkStart w:id="142" w:name="_Toc22029"/>
      <w:bookmarkStart w:id="143" w:name="_Toc469592777"/>
      <w:bookmarkStart w:id="144" w:name="_Toc16513"/>
      <w:r>
        <w:rPr>
          <w:rFonts w:hint="eastAsia"/>
        </w:rPr>
        <w:t>第三章 推动产业转型升级，促进低碳循环发展</w:t>
      </w:r>
      <w:bookmarkEnd w:id="136"/>
      <w:bookmarkEnd w:id="137"/>
      <w:bookmarkEnd w:id="138"/>
      <w:bookmarkEnd w:id="139"/>
      <w:bookmarkEnd w:id="140"/>
      <w:bookmarkEnd w:id="141"/>
      <w:bookmarkEnd w:id="142"/>
      <w:bookmarkEnd w:id="143"/>
      <w:bookmarkEnd w:id="144"/>
    </w:p>
    <w:p>
      <w:pPr>
        <w:pStyle w:val="3"/>
      </w:pPr>
      <w:bookmarkStart w:id="145" w:name="_Toc13718"/>
      <w:bookmarkStart w:id="146" w:name="_Toc6362"/>
      <w:bookmarkStart w:id="147" w:name="_Toc16912"/>
      <w:bookmarkStart w:id="148" w:name="_Toc465942574"/>
      <w:bookmarkStart w:id="149" w:name="_Toc3730"/>
      <w:bookmarkStart w:id="150" w:name="_Toc469592778"/>
      <w:bookmarkStart w:id="151" w:name="_Toc454737410"/>
      <w:bookmarkStart w:id="152" w:name="_Toc11860"/>
      <w:bookmarkStart w:id="153" w:name="_Toc461547629"/>
      <w:r>
        <w:rPr>
          <w:rFonts w:hint="eastAsia"/>
        </w:rPr>
        <w:t>第一节 构建农业循环经济体系</w:t>
      </w:r>
      <w:bookmarkEnd w:id="145"/>
      <w:bookmarkEnd w:id="146"/>
      <w:bookmarkEnd w:id="147"/>
      <w:bookmarkEnd w:id="148"/>
      <w:bookmarkEnd w:id="149"/>
      <w:bookmarkEnd w:id="150"/>
      <w:bookmarkEnd w:id="151"/>
      <w:bookmarkEnd w:id="152"/>
      <w:bookmarkEnd w:id="153"/>
    </w:p>
    <w:p>
      <w:pPr>
        <w:ind w:firstLine="560"/>
      </w:pPr>
      <w:r>
        <w:rPr>
          <w:rFonts w:hint="eastAsia"/>
        </w:rPr>
        <w:t>按照全市农业发展的产业布局，以农业资源利用减量化为主要手段，辅之以废物处理资源化、生产过程清洁化和产业链接循环化，培育和构建符合桂林市实际的农业循环经济模式，建设复合高效的农业循环经济示范基地，实现农业生态系统的自我循环和自我调节。</w:t>
      </w:r>
    </w:p>
    <w:p>
      <w:pPr>
        <w:pStyle w:val="4"/>
        <w:ind w:firstLine="600"/>
        <w:rPr>
          <w:szCs w:val="30"/>
        </w:rPr>
      </w:pPr>
      <w:bookmarkStart w:id="154" w:name="_Toc612"/>
      <w:bookmarkStart w:id="155" w:name="_Toc454737411"/>
      <w:bookmarkStart w:id="156" w:name="_Toc21658"/>
      <w:bookmarkStart w:id="157" w:name="_Toc7495"/>
      <w:bookmarkStart w:id="158" w:name="_Toc469592779"/>
      <w:bookmarkStart w:id="159" w:name="_Toc461547630"/>
      <w:bookmarkStart w:id="160" w:name="_Toc24369"/>
      <w:bookmarkStart w:id="161" w:name="_Toc465942575"/>
      <w:r>
        <w:rPr>
          <w:rFonts w:hint="eastAsia"/>
          <w:szCs w:val="30"/>
        </w:rPr>
        <w:t>一、完善农业循环经济产业链</w:t>
      </w:r>
      <w:bookmarkEnd w:id="154"/>
      <w:bookmarkEnd w:id="155"/>
      <w:bookmarkEnd w:id="156"/>
      <w:bookmarkEnd w:id="157"/>
      <w:bookmarkEnd w:id="158"/>
      <w:bookmarkEnd w:id="159"/>
      <w:bookmarkEnd w:id="160"/>
      <w:bookmarkEnd w:id="161"/>
    </w:p>
    <w:p>
      <w:pPr>
        <w:ind w:firstLine="560"/>
      </w:pPr>
      <w:r>
        <w:rPr>
          <w:rFonts w:hint="eastAsia"/>
          <w:b/>
        </w:rPr>
        <w:t>推广农业循环经济模式。</w:t>
      </w:r>
      <w:r>
        <w:t>深入开展全国循环农业示范市创建活动</w:t>
      </w:r>
      <w:r>
        <w:rPr>
          <w:rFonts w:hint="eastAsia"/>
        </w:rPr>
        <w:t>，着力构建以农产品、畜禽产品、林产品、水产品生产加工为主导的四大循环农业经济体，推进种养结合、农牧结合、养殖场建设与农田建设有机结合，积极探索农业生态循环发展模式，实现畜（禽）、鱼、粮、菜、果协同发展。在水果主产区，重点推广普及“养殖—沼气—种植”三位一体的恭城循环农业模式；在水稻主产区，重点推广“稻+灯+鱼+菇”循环农业模式，建立“稻灯鱼菇”生态循环农业示范区；在畜禽规模养殖区，推广“发酵床养猪”“林下养猪”“林下生态养鸡”等循环养殖模式，实现“猪</w:t>
      </w:r>
      <w:r>
        <w:t>+</w:t>
      </w:r>
      <w:r>
        <w:rPr>
          <w:rFonts w:hint="eastAsia"/>
        </w:rPr>
        <w:t>沼</w:t>
      </w:r>
      <w:r>
        <w:t>+</w:t>
      </w:r>
      <w:r>
        <w:rPr>
          <w:rFonts w:hint="eastAsia"/>
        </w:rPr>
        <w:t>鱼</w:t>
      </w:r>
      <w:r>
        <w:t>+</w:t>
      </w:r>
      <w:r>
        <w:rPr>
          <w:rFonts w:hint="eastAsia"/>
        </w:rPr>
        <w:t>果（菜、粮）</w:t>
      </w:r>
      <w:r>
        <w:t>+</w:t>
      </w:r>
      <w:r>
        <w:rPr>
          <w:rFonts w:hint="eastAsia"/>
        </w:rPr>
        <w:t>灯”“</w:t>
      </w:r>
      <w:r>
        <w:t>果+灯+鸡+生物堆肥</w:t>
      </w:r>
      <w:r>
        <w:rPr>
          <w:rFonts w:hint="eastAsia"/>
        </w:rPr>
        <w:t>”等立体种养殖融合循环，加快桂林市规模养殖场粪污处理建设项目建设，形成以畜禽粪便综合利用为核心的循环农业园区经济链。推广林间、林下立体开发循环经济模式，发展林下种植、养殖、</w:t>
      </w:r>
      <w:r>
        <w:t>产品采集加工业</w:t>
      </w:r>
      <w:r>
        <w:rPr>
          <w:rFonts w:hint="eastAsia"/>
        </w:rPr>
        <w:t>；鼓励利用林业废弃物生产人造板、纸、活性炭、木炭、竹炭、酒精等产品和生物质能源，鼓励经济林和果树修剪枝桠材、林产品加工副产品等资源化利用。</w:t>
      </w:r>
    </w:p>
    <w:p>
      <w:pPr>
        <w:ind w:firstLine="560"/>
      </w:pPr>
      <w:r>
        <w:rPr>
          <w:rFonts w:hint="eastAsia"/>
          <w:b/>
          <w:bCs/>
        </w:rPr>
        <w:t>引导农业规模化集约化发展。</w:t>
      </w:r>
      <w:r>
        <w:rPr>
          <w:rFonts w:hint="eastAsia"/>
        </w:rPr>
        <w:t>依托桂林市</w:t>
      </w:r>
      <w:r>
        <w:t>葡萄、月柿、柑桔、桃等120万亩无公害、绿色、有机水果基地</w:t>
      </w:r>
      <w:r>
        <w:rPr>
          <w:rFonts w:hint="eastAsia"/>
        </w:rPr>
        <w:t>，以及</w:t>
      </w:r>
      <w:r>
        <w:t>临桂、雁山、七星区</w:t>
      </w:r>
      <w:r>
        <w:rPr>
          <w:rFonts w:hint="eastAsia"/>
        </w:rPr>
        <w:t>、</w:t>
      </w:r>
      <w:r>
        <w:t>灵川、永福县等“菜篮子”基地</w:t>
      </w:r>
      <w:r>
        <w:rPr>
          <w:rFonts w:hint="eastAsia"/>
        </w:rPr>
        <w:t>等建设，加快现代农业核心示范区建设，引导优势农业产业集聚，尽快形成特色农产品生产基地，促进农业集约化、规模化、循环化发展。</w:t>
      </w:r>
    </w:p>
    <w:tbl>
      <w:tblPr>
        <w:tblStyle w:val="38"/>
        <w:tblpPr w:leftFromText="180" w:rightFromText="180" w:vertAnchor="text" w:horzAnchor="margin" w:tblpXSpec="center" w:tblpY="9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0" w:type="dxa"/>
          </w:tcPr>
          <w:p>
            <w:pPr>
              <w:ind w:firstLine="0" w:firstLineChars="0"/>
              <w:jc w:val="center"/>
              <w:rPr>
                <w:b/>
                <w:sz w:val="24"/>
                <w:szCs w:val="24"/>
              </w:rPr>
            </w:pPr>
            <w:r>
              <w:rPr>
                <w:rFonts w:hint="eastAsia"/>
                <w:b/>
                <w:sz w:val="24"/>
                <w:szCs w:val="24"/>
              </w:rPr>
              <w:t>专栏1：农业循环经济发展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0" w:type="dxa"/>
          </w:tcPr>
          <w:p>
            <w:pPr>
              <w:ind w:firstLine="480"/>
              <w:rPr>
                <w:sz w:val="24"/>
                <w:szCs w:val="24"/>
              </w:rPr>
            </w:pPr>
            <w:r>
              <w:rPr>
                <w:rFonts w:hint="eastAsia"/>
                <w:b/>
                <w:sz w:val="24"/>
                <w:szCs w:val="24"/>
              </w:rPr>
              <w:t>种植业。</w:t>
            </w:r>
            <w:r>
              <w:rPr>
                <w:rFonts w:hint="eastAsia"/>
                <w:sz w:val="24"/>
                <w:szCs w:val="24"/>
              </w:rPr>
              <w:t>建设标准化水果、蔬菜生产基地和果蔬采后预处理生产线及预冷藏车间。利用幼龄果园发展间套种，利用丰富的光温资源发展冬菜生产。推进果园、菜园废弃物资源化利用。</w:t>
            </w:r>
          </w:p>
          <w:p>
            <w:pPr>
              <w:ind w:firstLine="480"/>
              <w:rPr>
                <w:sz w:val="24"/>
                <w:szCs w:val="24"/>
              </w:rPr>
            </w:pPr>
            <w:r>
              <w:rPr>
                <w:rFonts w:hint="eastAsia"/>
                <w:b/>
                <w:sz w:val="24"/>
                <w:szCs w:val="24"/>
              </w:rPr>
              <w:t>食用菌。</w:t>
            </w:r>
            <w:r>
              <w:rPr>
                <w:rFonts w:hint="eastAsia"/>
                <w:sz w:val="24"/>
                <w:szCs w:val="24"/>
              </w:rPr>
              <w:t>建设食用菌生态循环示范基地，提高食用菌生产设施化、工厂化、标准化水平，利用收获食用菌后的培养基料生产有机肥。培育一批食用菌循环产业生产示范基地及区域性食用菌品牌。</w:t>
            </w:r>
          </w:p>
          <w:p>
            <w:pPr>
              <w:ind w:firstLine="480"/>
              <w:rPr>
                <w:sz w:val="24"/>
                <w:szCs w:val="24"/>
              </w:rPr>
            </w:pPr>
            <w:r>
              <w:rPr>
                <w:rFonts w:hint="eastAsia"/>
                <w:b/>
                <w:sz w:val="24"/>
                <w:szCs w:val="24"/>
              </w:rPr>
              <w:t>畜牧业。</w:t>
            </w:r>
            <w:r>
              <w:rPr>
                <w:rFonts w:hint="eastAsia"/>
                <w:sz w:val="24"/>
                <w:szCs w:val="24"/>
              </w:rPr>
              <w:t>推动发展饲料生产、畜禽养殖、畜禽产品加工、畜禽粪便肥料化生产及深加工一体化养殖业。重点实施清洁、高效、减排式高架网床生猪栏舍建设或改造，大力发展生态养殖。推广生猪发酵床养殖技术，到2020年，实现规模化养殖场（区）畜禽粪便综合利用率达到75%。</w:t>
            </w:r>
          </w:p>
          <w:p>
            <w:pPr>
              <w:ind w:firstLine="480"/>
              <w:rPr>
                <w:sz w:val="24"/>
                <w:szCs w:val="24"/>
              </w:rPr>
            </w:pPr>
            <w:r>
              <w:rPr>
                <w:rFonts w:hint="eastAsia"/>
                <w:b/>
                <w:sz w:val="24"/>
                <w:szCs w:val="24"/>
              </w:rPr>
              <w:t>林业。</w:t>
            </w:r>
            <w:r>
              <w:rPr>
                <w:rFonts w:hint="eastAsia"/>
                <w:sz w:val="24"/>
                <w:szCs w:val="24"/>
              </w:rPr>
              <w:t>推广林下循环经济模式，发展林下种植、养殖产业。利用采伐、造材、加工等林业“三剩物”发展加工业、培养食用菌等，推动林业“三剩物”资源化利用。</w:t>
            </w:r>
          </w:p>
        </w:tc>
      </w:tr>
    </w:tbl>
    <w:p>
      <w:pPr>
        <w:ind w:firstLine="560"/>
      </w:pPr>
    </w:p>
    <w:p>
      <w:pPr>
        <w:pStyle w:val="4"/>
        <w:ind w:firstLine="600"/>
      </w:pPr>
      <w:bookmarkStart w:id="162" w:name="_Toc465942576"/>
      <w:bookmarkStart w:id="163" w:name="_Toc8616"/>
      <w:bookmarkStart w:id="164" w:name="_Toc27328"/>
      <w:bookmarkStart w:id="165" w:name="_Toc27763"/>
      <w:bookmarkStart w:id="166" w:name="_Toc469592780"/>
      <w:bookmarkStart w:id="167" w:name="_Toc10122"/>
      <w:r>
        <w:rPr>
          <w:rFonts w:hint="eastAsia"/>
        </w:rPr>
        <w:t>二、实施农业资源利用减量化</w:t>
      </w:r>
      <w:bookmarkEnd w:id="162"/>
      <w:bookmarkEnd w:id="163"/>
      <w:bookmarkEnd w:id="164"/>
      <w:bookmarkEnd w:id="165"/>
      <w:bookmarkEnd w:id="166"/>
      <w:bookmarkEnd w:id="167"/>
    </w:p>
    <w:p>
      <w:pPr>
        <w:ind w:firstLine="560"/>
      </w:pPr>
      <w:r>
        <w:rPr>
          <w:rFonts w:hint="eastAsia"/>
        </w:rPr>
        <w:t>充分挖掘土、水、光、热等资源的利用潜力，积极发展农作物轮作、间种与套种等立体种植，农林作物与畜禽共作共养等立体种养模式，提高耕地、草地、水面、林地综合产出效率，促进农业土地集约化利用。以“一控两减三基本”（严格控制农业用水总量，减少化肥和农药使用量，实现畜禽粪便、农作物秸秆、农膜基本资源化利用）为目标，大力推广农田节水灌溉技术，逐步普及高效节水设备，改变传统漫灌串灌习惯，提高农业灌溉用水有效利用率，推进水资源节约高效利用。实施农药、化肥使用量零增长行动，合理调整施肥结构，大力推进有机肥生产和使用，推广测土配方、绿肥种植、化肥深施、种肥同播、水肥一体化等技术，提高化肥利用率，减少化肥使用量，有效控制农业化肥污染。推广生物防治、物理防控等绿色植保技术，适时施用农药，减少农药使用量。科学配制饲料，规范饲料添加剂使用，逐步减少饲料抗生素使用，提高饲料利用率。到2020年，农田灌溉水有效利用系数达到0.55，主要农作物化肥利用率达到40%以上</w:t>
      </w:r>
    </w:p>
    <w:p>
      <w:pPr>
        <w:pStyle w:val="4"/>
        <w:ind w:firstLine="600"/>
      </w:pPr>
      <w:bookmarkStart w:id="168" w:name="_Toc30865"/>
      <w:bookmarkStart w:id="169" w:name="_Toc24194"/>
      <w:bookmarkStart w:id="170" w:name="_Toc24773"/>
      <w:bookmarkStart w:id="171" w:name="_Toc465942577"/>
      <w:bookmarkStart w:id="172" w:name="_Toc27996"/>
      <w:bookmarkStart w:id="173" w:name="_Toc469592781"/>
      <w:r>
        <w:rPr>
          <w:rFonts w:hint="eastAsia"/>
        </w:rPr>
        <w:t>三、推进废弃物处理资源化</w:t>
      </w:r>
      <w:bookmarkEnd w:id="168"/>
      <w:bookmarkEnd w:id="169"/>
      <w:bookmarkEnd w:id="170"/>
      <w:bookmarkEnd w:id="171"/>
      <w:bookmarkEnd w:id="172"/>
      <w:bookmarkEnd w:id="173"/>
    </w:p>
    <w:p>
      <w:pPr>
        <w:ind w:firstLine="560"/>
      </w:pPr>
      <w:r>
        <w:rPr>
          <w:rFonts w:hint="eastAsia"/>
        </w:rPr>
        <w:t>加强废旧农膜、灌溉器材、农药包装物回收利用，建立政府引导、企业实施、农户参与的农膜、灌溉器材、农药包装物生产、使用、回收、再利用各个环节相互配套的回收利用体系。推广应用标准地膜，引导农民回收废旧地膜和使用可降解地膜。推进畜禽粪便资源化利用，科学规划合落实畜牧用地，开展畜禽粪便统一治理，支持规模化养殖场建设粪便收集、贮运、处理、利用设施，积极探索建立分散养殖粪便储存、回收和利用体系，强化畜禽养殖污染物减排。鼓励利用畜禽粪便发展规模化沼气、生物天然气，推进沼渣沼液深加工生产适合种植的有机肥。到2020年，实现规模化养殖场（区）畜禽粪便综合利用率达到75%，秸秆综合利用率达到90%，废膜回收利用率达到70%以上。。</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480"/>
              <w:jc w:val="center"/>
              <w:rPr>
                <w:b/>
                <w:bCs/>
                <w:sz w:val="24"/>
                <w:szCs w:val="24"/>
              </w:rPr>
            </w:pPr>
            <w:r>
              <w:rPr>
                <w:rFonts w:hint="eastAsia"/>
                <w:b/>
                <w:bCs/>
                <w:sz w:val="24"/>
                <w:szCs w:val="24"/>
              </w:rPr>
              <w:t>专栏</w:t>
            </w:r>
            <w:r>
              <w:rPr>
                <w:b/>
                <w:bCs/>
                <w:sz w:val="24"/>
                <w:szCs w:val="24"/>
              </w:rPr>
              <w:t>2</w:t>
            </w:r>
            <w:r>
              <w:rPr>
                <w:rFonts w:hint="eastAsia"/>
                <w:b/>
                <w:bCs/>
                <w:sz w:val="24"/>
                <w:szCs w:val="24"/>
              </w:rPr>
              <w:t>：桂林市农业资源化利用工程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480"/>
              <w:rPr>
                <w:sz w:val="24"/>
                <w:szCs w:val="24"/>
              </w:rPr>
            </w:pPr>
            <w:r>
              <w:rPr>
                <w:rFonts w:hint="eastAsia"/>
                <w:b/>
                <w:bCs/>
                <w:sz w:val="24"/>
                <w:szCs w:val="24"/>
              </w:rPr>
              <w:t>秸秆综合利用工程。</w:t>
            </w:r>
            <w:r>
              <w:rPr>
                <w:rFonts w:hint="eastAsia"/>
                <w:sz w:val="24"/>
                <w:szCs w:val="24"/>
              </w:rPr>
              <w:t>因地制宜发展水稻和玉米秸秆直接还田模式。推广秸秆“过腹还田”或气化利用，秸秆青贮、氨化处理转化为饲料和有机肥。</w:t>
            </w:r>
          </w:p>
          <w:p>
            <w:pPr>
              <w:ind w:firstLine="480"/>
              <w:rPr>
                <w:sz w:val="24"/>
                <w:szCs w:val="24"/>
              </w:rPr>
            </w:pPr>
            <w:r>
              <w:rPr>
                <w:rFonts w:hint="eastAsia"/>
                <w:b/>
                <w:bCs/>
                <w:sz w:val="24"/>
                <w:szCs w:val="24"/>
              </w:rPr>
              <w:t>农村沼气利用工程。</w:t>
            </w:r>
            <w:r>
              <w:rPr>
                <w:rFonts w:hint="eastAsia"/>
                <w:sz w:val="24"/>
                <w:szCs w:val="24"/>
              </w:rPr>
              <w:t>普及农村沼气工程，推广应用生物质能、太阳能、微水电等可再生能源，积极推广以沼气为纽带的庭院“三位一体”和大棚“四位一体”能源生态模式。新增建设大中小型沼气工程、大力推广户用沼气池全托管市场化运作，提高户用沼气池使用率，改变农村居民烧柴的习惯，达到以林涵水、以水发电、以电护林的效果。大力推广“三沼”（即沼气、沼渣、沼液）综合利用技术，到</w:t>
            </w:r>
            <w:r>
              <w:rPr>
                <w:sz w:val="24"/>
                <w:szCs w:val="24"/>
              </w:rPr>
              <w:t>2020</w:t>
            </w:r>
            <w:r>
              <w:rPr>
                <w:rFonts w:hint="eastAsia"/>
                <w:sz w:val="24"/>
                <w:szCs w:val="24"/>
              </w:rPr>
              <w:t>年，建立农村沼气自治区级综合服务基地</w:t>
            </w:r>
            <w:r>
              <w:rPr>
                <w:sz w:val="24"/>
                <w:szCs w:val="24"/>
              </w:rPr>
              <w:t>1</w:t>
            </w:r>
            <w:r>
              <w:rPr>
                <w:rFonts w:hint="eastAsia"/>
                <w:sz w:val="24"/>
                <w:szCs w:val="24"/>
              </w:rPr>
              <w:t>个、市级区域沼气服务中心</w:t>
            </w:r>
            <w:r>
              <w:rPr>
                <w:sz w:val="24"/>
                <w:szCs w:val="24"/>
              </w:rPr>
              <w:t>10</w:t>
            </w:r>
            <w:r>
              <w:rPr>
                <w:rFonts w:hint="eastAsia"/>
                <w:sz w:val="24"/>
                <w:szCs w:val="24"/>
              </w:rPr>
              <w:t>个、县级沼气服务站</w:t>
            </w:r>
            <w:r>
              <w:rPr>
                <w:sz w:val="24"/>
                <w:szCs w:val="24"/>
              </w:rPr>
              <w:t>100</w:t>
            </w:r>
            <w:r>
              <w:rPr>
                <w:rFonts w:hint="eastAsia"/>
                <w:sz w:val="24"/>
                <w:szCs w:val="24"/>
              </w:rPr>
              <w:t>个，实现农村沼气服务网络的全覆盖目标。</w:t>
            </w:r>
          </w:p>
        </w:tc>
      </w:tr>
    </w:tbl>
    <w:p>
      <w:pPr>
        <w:ind w:firstLine="560"/>
      </w:pPr>
    </w:p>
    <w:p>
      <w:pPr>
        <w:pStyle w:val="3"/>
      </w:pPr>
      <w:bookmarkStart w:id="174" w:name="_Toc26969"/>
      <w:bookmarkStart w:id="175" w:name="_Toc461547634"/>
      <w:bookmarkStart w:id="176" w:name="_Toc9512"/>
      <w:bookmarkStart w:id="177" w:name="_Toc10134"/>
      <w:bookmarkStart w:id="178" w:name="_Toc17050"/>
      <w:bookmarkStart w:id="179" w:name="_Toc465942579"/>
      <w:bookmarkStart w:id="180" w:name="_Toc19091"/>
      <w:bookmarkStart w:id="181" w:name="_Toc454737415"/>
      <w:bookmarkStart w:id="182" w:name="_Toc469592783"/>
      <w:r>
        <w:rPr>
          <w:rFonts w:hint="eastAsia"/>
        </w:rPr>
        <w:t>第二节 打造工业循环经济体系</w:t>
      </w:r>
      <w:bookmarkEnd w:id="174"/>
      <w:bookmarkEnd w:id="175"/>
      <w:bookmarkEnd w:id="176"/>
      <w:bookmarkEnd w:id="177"/>
      <w:bookmarkEnd w:id="178"/>
      <w:bookmarkEnd w:id="179"/>
      <w:bookmarkEnd w:id="180"/>
      <w:bookmarkEnd w:id="181"/>
      <w:bookmarkEnd w:id="182"/>
    </w:p>
    <w:p>
      <w:pPr>
        <w:ind w:firstLine="560"/>
      </w:pPr>
      <w:r>
        <w:rPr>
          <w:rFonts w:hint="eastAsia"/>
        </w:rPr>
        <w:t>大力推进供给侧结构性改革，坚决淘汰落后产能，有序退出过剩产能。逐步淘汰“两高一资”项目，从原料投入和能源使用实现源头“减量化”。积极开展产业废物资源综合利用，推进企业间、产业间共生耦合，形成循环链接的产业体系，推动工业经济循环化改造，向高端、绿色、低碳方向迈进。</w:t>
      </w:r>
    </w:p>
    <w:p>
      <w:pPr>
        <w:pStyle w:val="4"/>
        <w:ind w:firstLine="600"/>
        <w:rPr>
          <w:szCs w:val="30"/>
        </w:rPr>
      </w:pPr>
      <w:bookmarkStart w:id="183" w:name="_Toc465942580"/>
      <w:bookmarkStart w:id="184" w:name="_Toc469592784"/>
      <w:bookmarkStart w:id="185" w:name="_Toc2700"/>
      <w:bookmarkStart w:id="186" w:name="_Toc11394"/>
      <w:bookmarkStart w:id="187" w:name="_Toc12016"/>
      <w:bookmarkStart w:id="188" w:name="_Toc465942581"/>
      <w:bookmarkStart w:id="189" w:name="_Toc22911"/>
      <w:r>
        <w:rPr>
          <w:rFonts w:hint="eastAsia"/>
          <w:szCs w:val="30"/>
        </w:rPr>
        <w:t>一、建立循环型特色工业体系</w:t>
      </w:r>
      <w:bookmarkEnd w:id="183"/>
      <w:bookmarkEnd w:id="184"/>
    </w:p>
    <w:p>
      <w:pPr>
        <w:pStyle w:val="6"/>
        <w:ind w:firstLine="560"/>
      </w:pPr>
      <w:r>
        <w:rPr>
          <w:rFonts w:hint="eastAsia"/>
        </w:rPr>
        <w:t>（一）电子信息、先进装备制造产业</w:t>
      </w:r>
    </w:p>
    <w:p>
      <w:pPr>
        <w:ind w:firstLine="560"/>
      </w:pPr>
      <w:r>
        <w:rPr>
          <w:rFonts w:hint="eastAsia"/>
        </w:rPr>
        <w:t>电子信息行业产生的废弃物主要是蚀刻废液、含铜污泥、废线路板等，均属危险废弃物。先进装备制造产业产生的废弃物主要是固体废弃物、金属废渣、废油、废水等，危险废弃物主要是外售给其他企业实现综合利用和无害化处理，园区内部的综合利用率较低。应加快电子信息和装备制造循环产业链建设，引入新技术新方法，提高产业危废处理技术和利用水平。一是构建的生态工业园污染源普查信息系统，对回收废弃物的企业进行更加有效的监管，避免因为资源综合利用的过 度市场化带来环境污染风险。二是按照“零排放”的总体要求，实施蚀刻废液等危险废弃物在线回收项目，有效减少环境污染。三是对全社会回收电脑、手机等电子产品及电子塑料，实施再生回收利用项目。</w:t>
      </w:r>
    </w:p>
    <w:p>
      <w:pPr>
        <w:pStyle w:val="6"/>
        <w:ind w:firstLine="560"/>
      </w:pPr>
      <w:r>
        <w:rPr>
          <w:rFonts w:hint="eastAsia"/>
        </w:rPr>
        <w:t>（二）医药及生物制品、生态食品产业</w:t>
      </w:r>
    </w:p>
    <w:p>
      <w:pPr>
        <w:ind w:firstLine="560"/>
      </w:pPr>
      <w:r>
        <w:rPr>
          <w:rFonts w:hint="eastAsia"/>
        </w:rPr>
        <w:t>桂林市医药及生物制品、生态食品产业产生的废弃物主要是植物固废和废水。对于固体废弃物和固体药渣废弃物，要确保减量化和资源化、无害化处理。鼓励企业选用合适的生产原料，从工艺入手进行技术改造，从源头消除或减少废物的产生。对加工后的废弃材料和下脚料进行回收和加工并进行梯级利用和循环利用。采用生物技术和微生物发酵工程，探索利用药渣作为禽畜饲料的添加剂、生物复合肥、有机燃料等。在园区内实施中水回用和再生水的利用工程，建立分散式与集中式污水处理系统，充分发挥园区污水处理中心的作用，对废水中大量可回收物质先进行回收，对废水中的有毒有害物质先处置，处理后的废水按类别用于对水质要求不同的行业或企业，进一步提高水的重复利用率，实现园区内水资源的节约使用。</w:t>
      </w:r>
    </w:p>
    <w:p>
      <w:pPr>
        <w:pStyle w:val="6"/>
        <w:ind w:firstLine="560"/>
      </w:pPr>
      <w:r>
        <w:rPr>
          <w:rFonts w:hint="eastAsia"/>
        </w:rPr>
        <w:t>（三）其他传统产业</w:t>
      </w:r>
    </w:p>
    <w:p>
      <w:pPr>
        <w:ind w:firstLine="560"/>
      </w:pPr>
      <w:r>
        <w:rPr>
          <w:rFonts w:hint="eastAsia"/>
          <w:bCs/>
        </w:rPr>
        <w:t>电力产业重点推行废弃物减量化。</w:t>
      </w:r>
      <w:r>
        <w:rPr>
          <w:rFonts w:hint="eastAsia"/>
        </w:rPr>
        <w:t>积极采用高效节能机组，加强节能改造，提高投入产出率。积极开发清洁能源，重点开发风力资源，加快桂林市风电场项目建设。</w:t>
      </w:r>
    </w:p>
    <w:p>
      <w:pPr>
        <w:ind w:firstLine="560"/>
      </w:pPr>
      <w:r>
        <w:rPr>
          <w:rFonts w:hint="eastAsia"/>
        </w:rPr>
        <w:t>冶金产业重点发展精深加工与资源综合利用，提升锰、锌、钽、铌等金属综合利用率，重点发展锰矿—冶炼—精深加工主产业链和生态锰循环经济产业链。引进新工艺、新技术，实施冶金生产工艺和技术装备改造。推进冶金生产过程中固体废弃物、工业用水的循环利用，深度开发冶金渣、赤泥、污水中有价金属的回收、分解和提纯，提高金属元素的资源循环利用率。</w:t>
      </w:r>
    </w:p>
    <w:p>
      <w:pPr>
        <w:ind w:firstLine="560"/>
      </w:pPr>
      <w:r>
        <w:rPr>
          <w:rFonts w:hint="eastAsia"/>
        </w:rPr>
        <w:t>木材加工及建材产业重点发展废弃物循环利用。</w:t>
      </w:r>
      <w:r>
        <w:t>推进利用</w:t>
      </w:r>
      <w:r>
        <w:rPr>
          <w:rFonts w:hint="eastAsia"/>
        </w:rPr>
        <w:t>木材下脚料、木屑生态化处理。加快滑石、碳酸钙等非金属矿物制品精深加工，推进新产品研发，延长产业链，积极发展新型建材产品。废弃碳酸钙尾矿可用于生产</w:t>
      </w:r>
      <w:r>
        <w:t>路面材料。推动废玻璃、废玻纤、废陶瓷、废复合材料、废碎石及石粉等回收利用并生产建材产品。加快发展节能玻璃、太阳能玻璃、复合多功能墙体材料等绿色建材产品</w:t>
      </w:r>
      <w:r>
        <w:rPr>
          <w:rFonts w:hint="eastAsia"/>
        </w:rPr>
        <w:t>，配合绿色节能建筑建设</w:t>
      </w:r>
      <w:r>
        <w:t>。提高高标号水泥及高性能混凝土的应用比例，推进水泥及混凝土用量的减量化。</w:t>
      </w:r>
    </w:p>
    <w:p>
      <w:pPr>
        <w:pStyle w:val="4"/>
        <w:ind w:firstLine="600"/>
      </w:pPr>
      <w:bookmarkStart w:id="190" w:name="_Toc469592785"/>
      <w:r>
        <w:rPr>
          <w:rFonts w:hint="eastAsia"/>
        </w:rPr>
        <w:t>二、推进园区循环化建设和改造</w:t>
      </w:r>
      <w:bookmarkEnd w:id="185"/>
      <w:bookmarkEnd w:id="186"/>
      <w:bookmarkEnd w:id="187"/>
      <w:bookmarkEnd w:id="188"/>
      <w:bookmarkEnd w:id="189"/>
      <w:bookmarkEnd w:id="190"/>
    </w:p>
    <w:p>
      <w:pPr>
        <w:ind w:firstLine="560"/>
        <w:rPr>
          <w:sz w:val="30"/>
          <w:szCs w:val="30"/>
        </w:rPr>
      </w:pPr>
      <w:r>
        <w:rPr>
          <w:rFonts w:hint="eastAsia"/>
        </w:rPr>
        <w:t>以</w:t>
      </w:r>
      <w:r>
        <w:rPr>
          <w:rFonts w:hint="eastAsia"/>
          <w:lang w:val="zh-CN"/>
        </w:rPr>
        <w:t>桂林国家高新技术产业开发区、桂林经济技术开发区、</w:t>
      </w:r>
      <w:r>
        <w:rPr>
          <w:rFonts w:hint="eastAsia"/>
        </w:rPr>
        <w:t>灵川八里街工业园为重点，对园区内供水、供电、供热、道路、通信等公共基础设施实施绿色化改造，加快园区废物利用、资源能源分质梯级利用、水资源分类使用和循环利用、公共服务平台等基础设施建设，实现园区内项目、企业、产业有机耦合和循环链接。加快兴安县、全州县、阳朔县、灌阳县等县级工业集中区循环化改造，打造一批循环经济示范基地。按照循环经济模式规划、新建一批循环经济园区，促进工业企业产业集聚，对进入园区的企业制定土地、能源、水资源利用及污染物排放综合控制要求，围绕核心资源发展关联产业，形成资源循环利用产业链。</w:t>
      </w:r>
    </w:p>
    <w:p>
      <w:pPr>
        <w:pStyle w:val="4"/>
        <w:ind w:firstLine="600"/>
      </w:pPr>
      <w:bookmarkStart w:id="191" w:name="_Toc23395"/>
      <w:bookmarkStart w:id="192" w:name="_Toc23741"/>
      <w:bookmarkStart w:id="193" w:name="_Toc27182"/>
      <w:bookmarkStart w:id="194" w:name="_Toc465942582"/>
      <w:bookmarkStart w:id="195" w:name="_Toc469592786"/>
      <w:bookmarkStart w:id="196" w:name="_Toc19425"/>
      <w:r>
        <w:rPr>
          <w:rFonts w:hint="eastAsia"/>
        </w:rPr>
        <w:t>三、全面推行企业清洁循环生产</w:t>
      </w:r>
      <w:bookmarkEnd w:id="191"/>
      <w:bookmarkEnd w:id="192"/>
      <w:bookmarkEnd w:id="193"/>
      <w:bookmarkEnd w:id="194"/>
      <w:bookmarkEnd w:id="195"/>
      <w:bookmarkEnd w:id="196"/>
    </w:p>
    <w:p>
      <w:pPr>
        <w:ind w:firstLine="560"/>
      </w:pPr>
      <w:r>
        <w:rPr>
          <w:rFonts w:hint="eastAsia"/>
        </w:rPr>
        <w:t>把循环经济“3R”原则贯穿到企业生产的各环节和全流程，积极引导企业按照物质流的方法，加快构建完善内部小循环，提高原料、能源、水资源等物质的循环利用能力，进一步减少废弃物产生及排放。进一步加大清洁生产审核力度，推进重点行业强制性清洁生产审核，扩大自愿性清洁生产审核范围。加快培育一批节能、节水、资源回收与综合利用示范企业，推进循环经济试点建设，培育一批自治区级循环经济示范企业。重点落实企业节能减排主体责任，进一步加强对重点耗能企业的监管，对年耗能5000吨标准煤以上的企业纳入重点管理和监督对象，坚决淘汰或治理不合格的铁合金、石材等行业落后产能，加快工艺、技术、设备更新升级。</w:t>
      </w:r>
    </w:p>
    <w:p>
      <w:pPr>
        <w:pStyle w:val="3"/>
      </w:pPr>
      <w:bookmarkStart w:id="197" w:name="_Toc32120"/>
      <w:bookmarkStart w:id="198" w:name="_Toc465942584"/>
      <w:bookmarkStart w:id="199" w:name="_Toc454737418"/>
      <w:bookmarkStart w:id="200" w:name="_Toc469592788"/>
      <w:bookmarkStart w:id="201" w:name="_Toc9522"/>
      <w:bookmarkStart w:id="202" w:name="_Toc11520"/>
      <w:bookmarkStart w:id="203" w:name="_Toc22799"/>
      <w:bookmarkStart w:id="204" w:name="_Toc3514"/>
      <w:bookmarkStart w:id="205" w:name="_Toc461547637"/>
      <w:r>
        <w:rPr>
          <w:rFonts w:hint="eastAsia"/>
        </w:rPr>
        <w:t>第三节 建设服务业循环经济体系</w:t>
      </w:r>
      <w:bookmarkEnd w:id="197"/>
      <w:bookmarkEnd w:id="198"/>
      <w:bookmarkEnd w:id="199"/>
      <w:bookmarkEnd w:id="200"/>
      <w:bookmarkEnd w:id="201"/>
      <w:bookmarkEnd w:id="202"/>
      <w:bookmarkEnd w:id="203"/>
      <w:bookmarkEnd w:id="204"/>
      <w:bookmarkEnd w:id="205"/>
    </w:p>
    <w:p>
      <w:pPr>
        <w:ind w:firstLine="560"/>
      </w:pPr>
      <w:r>
        <w:rPr>
          <w:rFonts w:hint="eastAsia"/>
        </w:rPr>
        <w:t>按照循环服务业布局，推进生活性服务业和生产性服务业循环发展，开展生活垃圾循环化处理工程，将循环经济理念贯穿于服务业发展的各环节，构建循环型服务业体系。</w:t>
      </w:r>
    </w:p>
    <w:p>
      <w:pPr>
        <w:pStyle w:val="4"/>
        <w:ind w:firstLine="600"/>
        <w:rPr>
          <w:szCs w:val="30"/>
        </w:rPr>
      </w:pPr>
      <w:bookmarkStart w:id="206" w:name="_Toc454737419"/>
      <w:bookmarkStart w:id="207" w:name="_Toc461547638"/>
      <w:bookmarkStart w:id="208" w:name="_Toc28723"/>
      <w:bookmarkStart w:id="209" w:name="_Toc18056"/>
      <w:bookmarkStart w:id="210" w:name="_Toc469592789"/>
      <w:bookmarkStart w:id="211" w:name="_Toc16930"/>
      <w:bookmarkStart w:id="212" w:name="_Toc30936"/>
      <w:bookmarkStart w:id="213" w:name="_Toc465942585"/>
      <w:r>
        <w:rPr>
          <w:rFonts w:hint="eastAsia"/>
          <w:szCs w:val="30"/>
        </w:rPr>
        <w:t>一、</w:t>
      </w:r>
      <w:bookmarkEnd w:id="206"/>
      <w:bookmarkEnd w:id="207"/>
      <w:r>
        <w:rPr>
          <w:rFonts w:hint="eastAsia"/>
          <w:szCs w:val="30"/>
        </w:rPr>
        <w:t>推进</w:t>
      </w:r>
      <w:bookmarkEnd w:id="208"/>
      <w:bookmarkEnd w:id="209"/>
      <w:bookmarkEnd w:id="210"/>
      <w:bookmarkEnd w:id="211"/>
      <w:bookmarkEnd w:id="212"/>
      <w:bookmarkEnd w:id="213"/>
      <w:r>
        <w:rPr>
          <w:rFonts w:hint="eastAsia"/>
          <w:szCs w:val="30"/>
        </w:rPr>
        <w:t>生活性服务业绿色循环发展</w:t>
      </w:r>
    </w:p>
    <w:p>
      <w:pPr>
        <w:ind w:firstLine="560"/>
      </w:pPr>
      <w:r>
        <w:rPr>
          <w:rFonts w:hint="eastAsia"/>
          <w:b/>
          <w:bCs/>
        </w:rPr>
        <w:t>推进旅游业低碳清洁化。</w:t>
      </w:r>
      <w:r>
        <w:rPr>
          <w:rFonts w:hint="eastAsia"/>
        </w:rPr>
        <w:t>围绕建设国际旅游目的地和集散地，加快推进旅游景区建设、管理、消费等各环节绿色化，按照旅游景区质量等级和绿色饭店等标准，鼓励发展绿色旅游饭店，提高节能减排要求。积极采用清洁生产技术、污染治理技术和废物利用技术等，开展景区服务设施绿色化改造。科学设置垃圾分类回收装置，引导旅游者分类投放废弃物，自觉保护景区环境。推行利用可再生能源配套建设旅游区的污水再生利用、雨水收集、垃圾无害化处理系统。大力推动旅游景区使用电动车等节能环保交通工具，实行低碳旅游。</w:t>
      </w:r>
    </w:p>
    <w:p>
      <w:pPr>
        <w:ind w:firstLine="560"/>
      </w:pPr>
      <w:r>
        <w:rPr>
          <w:rFonts w:hint="eastAsia"/>
          <w:b/>
          <w:bCs/>
        </w:rPr>
        <w:t>推进餐饮住宿绿色化。</w:t>
      </w:r>
      <w:r>
        <w:rPr>
          <w:rFonts w:hint="eastAsia"/>
        </w:rPr>
        <w:t>积极发展绿色饭店、主题饭店、客栈民俗、短租公寓、有机餐饮、特色餐饮、农家乐等新型餐饮住宿业态，提高餐饮住宿的文化品位和绿色安全保障水平。大力培育自治区及以上级别的“绿色餐饮企业”。推广节能设备，提倡使用清洁能源代替污染能源，推行使用节水产品和无磷高效洗涤剂，分类排放生活垃圾，分类存放餐厨废弃物，做好餐饮垃圾回收利用。倡导减少使用一次性餐具和用具，引导行业走循环发展之路。</w:t>
      </w:r>
    </w:p>
    <w:p>
      <w:pPr>
        <w:ind w:firstLine="0" w:firstLineChars="0"/>
      </w:pPr>
      <w:r>
        <w:rPr>
          <w:rFonts w:hint="eastAsia"/>
        </w:rPr>
        <w:t xml:space="preserve">    全程优化零售批发供应链。鼓励发展节能、绿色商场，开设绿色产品销售专区、专柜等，提高绿色商品供给水平。加强零售批发企业对废弃包装物、废弃食品、垃圾等进行分类回收和利用，鼓励采用以旧换新的方式回收废旧商品。</w:t>
      </w:r>
    </w:p>
    <w:p>
      <w:pPr>
        <w:pStyle w:val="4"/>
        <w:ind w:firstLine="600"/>
      </w:pPr>
      <w:bookmarkStart w:id="214" w:name="_Toc454737420"/>
      <w:bookmarkStart w:id="215" w:name="_Toc461547639"/>
      <w:bookmarkStart w:id="216" w:name="_Toc465942586"/>
      <w:bookmarkStart w:id="217" w:name="_Toc469592790"/>
      <w:bookmarkStart w:id="218" w:name="_Toc10677"/>
      <w:bookmarkStart w:id="219" w:name="_Toc732"/>
      <w:bookmarkStart w:id="220" w:name="_Toc17492"/>
      <w:bookmarkStart w:id="221" w:name="_Toc3924"/>
      <w:r>
        <w:rPr>
          <w:rFonts w:hint="eastAsia"/>
        </w:rPr>
        <w:t>二、</w:t>
      </w:r>
      <w:bookmarkEnd w:id="214"/>
      <w:bookmarkEnd w:id="215"/>
      <w:r>
        <w:rPr>
          <w:rFonts w:hint="eastAsia"/>
        </w:rPr>
        <w:t>推进生产性服务业循环发展</w:t>
      </w:r>
      <w:bookmarkEnd w:id="216"/>
      <w:bookmarkEnd w:id="217"/>
      <w:bookmarkEnd w:id="218"/>
      <w:bookmarkEnd w:id="219"/>
      <w:bookmarkEnd w:id="220"/>
      <w:bookmarkEnd w:id="221"/>
    </w:p>
    <w:p>
      <w:pPr>
        <w:ind w:firstLine="560"/>
      </w:pPr>
      <w:r>
        <w:rPr>
          <w:rFonts w:hint="eastAsia"/>
          <w:b/>
          <w:bCs/>
        </w:rPr>
        <w:t>大力发展低碳可循环物流。</w:t>
      </w:r>
      <w:r>
        <w:rPr>
          <w:rFonts w:hint="eastAsia"/>
        </w:rPr>
        <w:t>加强建设以LNG清洁能源车辆运营为主的绿色物流专用通道，配套建设和完善煤炭物流相关服务设施，推广智能通关技术，实现物流运输过程中资源消耗和废弃物排放最小化。加快建设逆向物流基地，把逆向物流基地与“城市矿产”、餐厨废弃物、废旧物资、废旧家具、废弃电子产品等城市领域的循环经济建设紧密结合，将社会领域流通过程中有再利用价值的废弃物回收予以分拣、加工、分解，使其成为有用的物资重新进入生产和消费领域。完善仓储设施节能环保标准，加快绿色仓储建设。优化城市配送网络，鼓励统一配送和共同配送，推行托盘标准化和共用系统建设。推进包装物梯级利用，加强对废弃包装物的回收和再生处理。</w:t>
      </w:r>
    </w:p>
    <w:p>
      <w:pPr>
        <w:ind w:firstLine="0" w:firstLineChars="0"/>
      </w:pPr>
      <w:r>
        <w:rPr>
          <w:rFonts w:hint="eastAsia"/>
          <w:b/>
          <w:bCs/>
        </w:rPr>
        <w:t>加快发展节能环保服务。</w:t>
      </w:r>
      <w:r>
        <w:rPr>
          <w:rFonts w:hint="eastAsia"/>
        </w:rPr>
        <w:t>大力发展节能减排投融资、能源审计、清洁生产审核、节能环保认证、节能评估等第三方节能环保服务，打造一批从事节能环保技术研发、咨询服务、推广应用的服务平台和机构，为开展循环经济建设、标准化认证和技术改造提供技术支持。规范引导电力、冶金、建材企业协同开展城市与产业废弃物的资源化处理，推进环境污染第三方治理。推广合同能源管理，开展专业化节能环保服务。探索节能量市场化交易。</w:t>
      </w:r>
    </w:p>
    <w:p>
      <w:pPr>
        <w:ind w:firstLine="0" w:firstLineChars="0"/>
      </w:pPr>
      <w:r>
        <w:rPr>
          <w:rFonts w:hint="eastAsia"/>
          <w:b/>
          <w:bCs/>
        </w:rPr>
        <w:t>推进信息技术服务业绿色化。</w:t>
      </w:r>
      <w:r>
        <w:rPr>
          <w:rFonts w:hint="eastAsia"/>
        </w:rPr>
        <w:t>以桂林市打造“智慧城市”为契机，加快推进通信服务业绿色基站建设，开展大数据中心建设，建设云计算、仓储式及集装箱式数据机房，推广应用先进节能技术，提高数据中心和机房的能源利用效率。鼓励通讯运营商回收基站中的废旧铅酸电池，探索采用押金制或奖励等方式建立废旧手机、电池、充电器等通信产品的回收体系。</w:t>
      </w:r>
    </w:p>
    <w:p>
      <w:pPr>
        <w:pStyle w:val="4"/>
        <w:spacing w:line="383" w:lineRule="auto"/>
        <w:ind w:firstLine="600"/>
      </w:pPr>
      <w:r>
        <w:rPr>
          <w:rFonts w:hint="eastAsia"/>
        </w:rPr>
        <w:t>三、</w:t>
      </w:r>
      <w:r>
        <w:rPr>
          <w:sz w:val="32"/>
        </w:rPr>
        <w:t>促进公共服务循环化发展</w:t>
      </w:r>
    </w:p>
    <w:p>
      <w:pPr>
        <w:ind w:firstLine="560" w:firstLineChars="0"/>
        <w:rPr>
          <w:sz w:val="30"/>
          <w:szCs w:val="30"/>
        </w:rPr>
        <w:sectPr>
          <w:pgSz w:w="11906" w:h="16838"/>
          <w:pgMar w:top="1440" w:right="1800" w:bottom="1440" w:left="1800" w:header="851" w:footer="992" w:gutter="0"/>
          <w:cols w:space="425" w:num="1"/>
          <w:docGrid w:type="lines" w:linePitch="312" w:charSpace="0"/>
        </w:sectPr>
      </w:pPr>
      <w:r>
        <w:rPr>
          <w:rFonts w:hint="eastAsia"/>
        </w:rPr>
        <w:t>加快</w:t>
      </w:r>
      <w:r>
        <w:t>建设循环型公共机构，制定评价标准，</w:t>
      </w:r>
      <w:r>
        <w:rPr>
          <w:rFonts w:hint="eastAsia"/>
        </w:rPr>
        <w:t>积极</w:t>
      </w:r>
      <w:r>
        <w:t>推进无纸化办公，引导公共机构开展节水型、节能型单位建设。推进绿色学校建设，推广应用节能节水等循环经济技术、产品，提高教材的重复利用水平，加强学校环境整治。鼓励科研机构、高等院校、企业等开展循环经济的科学研究、技术推广和成果转化。推动文化创意和循环经济深度融合，鼓励体现生态文明、循环经济理念的优秀文化作品的创作推广。</w:t>
      </w:r>
    </w:p>
    <w:p>
      <w:pPr>
        <w:pStyle w:val="2"/>
      </w:pPr>
      <w:bookmarkStart w:id="222" w:name="_Toc9680"/>
      <w:bookmarkStart w:id="223" w:name="_Toc465942588"/>
      <w:bookmarkStart w:id="224" w:name="_Toc5059"/>
      <w:bookmarkStart w:id="225" w:name="_Toc461547641"/>
      <w:bookmarkStart w:id="226" w:name="_Toc11979"/>
      <w:bookmarkStart w:id="227" w:name="_Toc28844"/>
      <w:bookmarkStart w:id="228" w:name="_Toc469592792"/>
      <w:bookmarkStart w:id="229" w:name="_Toc12977"/>
      <w:bookmarkStart w:id="230" w:name="_Toc454737422"/>
      <w:r>
        <w:rPr>
          <w:rFonts w:hint="eastAsia"/>
        </w:rPr>
        <w:t>第四章 循环高效利用资源，构建生态宜居城市</w:t>
      </w:r>
      <w:bookmarkEnd w:id="222"/>
      <w:bookmarkEnd w:id="223"/>
      <w:bookmarkEnd w:id="224"/>
      <w:bookmarkEnd w:id="225"/>
      <w:bookmarkEnd w:id="226"/>
      <w:bookmarkEnd w:id="227"/>
      <w:bookmarkEnd w:id="228"/>
      <w:bookmarkEnd w:id="229"/>
      <w:bookmarkEnd w:id="230"/>
    </w:p>
    <w:p>
      <w:pPr>
        <w:ind w:firstLine="560"/>
      </w:pPr>
      <w:bookmarkStart w:id="231" w:name="_Toc454737423"/>
      <w:bookmarkStart w:id="232" w:name="_Toc461547642"/>
      <w:r>
        <w:rPr>
          <w:rFonts w:hint="eastAsia"/>
        </w:rPr>
        <w:t>以特色新型城镇化和城乡统筹为统领，从静脉产业、生态社区等领域入手，切实减少社会领域废弃物的排放，提高能源和再生资源的利用效率，推广环保材料、节能技术的应用，推进整个区域集约、高效、协调发展。到</w:t>
      </w:r>
      <w:r>
        <w:t>2020</w:t>
      </w:r>
      <w:r>
        <w:rPr>
          <w:rFonts w:hint="eastAsia"/>
        </w:rPr>
        <w:t>年，在全市范围内建立起较为完善的社会循环经济体系。</w:t>
      </w:r>
    </w:p>
    <w:p>
      <w:pPr>
        <w:pStyle w:val="3"/>
      </w:pPr>
      <w:bookmarkStart w:id="233" w:name="_Toc787"/>
      <w:bookmarkStart w:id="234" w:name="_Toc3639"/>
      <w:bookmarkStart w:id="235" w:name="_Toc14621"/>
      <w:bookmarkStart w:id="236" w:name="_Toc6675"/>
      <w:bookmarkStart w:id="237" w:name="_Toc465942589"/>
      <w:bookmarkStart w:id="238" w:name="_Toc26388"/>
      <w:bookmarkStart w:id="239" w:name="_Toc469592793"/>
      <w:r>
        <w:rPr>
          <w:rFonts w:hint="eastAsia"/>
        </w:rPr>
        <w:t>第一节 循环高效利用资源</w:t>
      </w:r>
      <w:bookmarkEnd w:id="231"/>
      <w:bookmarkEnd w:id="232"/>
      <w:bookmarkEnd w:id="233"/>
      <w:bookmarkEnd w:id="234"/>
      <w:bookmarkEnd w:id="235"/>
      <w:bookmarkEnd w:id="236"/>
      <w:bookmarkEnd w:id="237"/>
      <w:bookmarkEnd w:id="238"/>
      <w:bookmarkEnd w:id="239"/>
    </w:p>
    <w:p>
      <w:pPr>
        <w:ind w:firstLine="560"/>
        <w:rPr>
          <w:sz w:val="30"/>
          <w:szCs w:val="30"/>
        </w:rPr>
      </w:pPr>
      <w:r>
        <w:rPr>
          <w:rFonts w:hint="eastAsia"/>
        </w:rPr>
        <w:t>循环高效利用资源，加大静脉产业</w:t>
      </w:r>
      <w:r>
        <w:rPr>
          <w:rStyle w:val="37"/>
          <w:sz w:val="30"/>
          <w:szCs w:val="30"/>
        </w:rPr>
        <w:footnoteReference w:id="1"/>
      </w:r>
      <w:r>
        <w:rPr>
          <w:rFonts w:hint="eastAsia"/>
        </w:rPr>
        <w:t>发展力度，大力开发“城市矿产”</w:t>
      </w:r>
      <w:r>
        <w:rPr>
          <w:rStyle w:val="37"/>
          <w:sz w:val="30"/>
          <w:szCs w:val="30"/>
        </w:rPr>
        <w:footnoteReference w:id="2"/>
      </w:r>
      <w:r>
        <w:rPr>
          <w:rFonts w:hint="eastAsia"/>
        </w:rPr>
        <w:t>，推动餐厨和建筑废弃物的资源化利用，进一步推动再生水规模化循环利用。搭建完善再生资源回收网络，通过分类分拣，使可再生利用的废弃物进入“资源化”“再利用”过程，构筑起全方位的“资源—产品—再生资源”良性闭合的循环经济系统。</w:t>
      </w:r>
    </w:p>
    <w:p>
      <w:pPr>
        <w:pStyle w:val="4"/>
        <w:ind w:firstLine="600"/>
      </w:pPr>
      <w:bookmarkStart w:id="240" w:name="_Toc461547643"/>
      <w:bookmarkStart w:id="241" w:name="_Toc454737424"/>
      <w:bookmarkStart w:id="242" w:name="_Toc465942590"/>
      <w:bookmarkStart w:id="243" w:name="_Toc31490"/>
      <w:bookmarkStart w:id="244" w:name="_Toc11247"/>
      <w:bookmarkStart w:id="245" w:name="_Toc469592794"/>
      <w:bookmarkStart w:id="246" w:name="_Toc16331"/>
      <w:bookmarkStart w:id="247" w:name="_Toc29151"/>
      <w:r>
        <w:rPr>
          <w:rFonts w:hint="eastAsia"/>
        </w:rPr>
        <w:t>一、促进“城市矿产”资源化利用</w:t>
      </w:r>
      <w:bookmarkEnd w:id="240"/>
      <w:bookmarkEnd w:id="241"/>
      <w:bookmarkEnd w:id="242"/>
      <w:bookmarkEnd w:id="243"/>
      <w:bookmarkEnd w:id="244"/>
      <w:bookmarkEnd w:id="245"/>
      <w:bookmarkEnd w:id="246"/>
      <w:bookmarkEnd w:id="247"/>
    </w:p>
    <w:p>
      <w:pPr>
        <w:ind w:firstLine="560"/>
      </w:pPr>
      <w:r>
        <w:rPr>
          <w:rFonts w:hint="eastAsia"/>
        </w:rPr>
        <w:t>大力挖掘“城市矿产”潜力，进一步完善再生资源回收和加工利用产业链，形成回收、分拣、拆解、加工、资源化利用和无害化处理等完整的链条，使再生资源成为桂林市资源型产业原材料的重要补充，提升全市资源循环水平。到2020年，桂林市再生资源回收利用率达到</w:t>
      </w:r>
      <w:r>
        <w:t>90%</w:t>
      </w:r>
      <w:r>
        <w:rPr>
          <w:rFonts w:hint="eastAsia"/>
        </w:rPr>
        <w:t>以上。</w:t>
      </w:r>
    </w:p>
    <w:p>
      <w:pPr>
        <w:ind w:firstLine="560"/>
      </w:pPr>
      <w:r>
        <w:rPr>
          <w:rFonts w:hint="eastAsia"/>
          <w:b/>
          <w:bCs/>
        </w:rPr>
        <w:t>再生资源分类回收体系。</w:t>
      </w:r>
      <w:r>
        <w:rPr>
          <w:rFonts w:hint="eastAsia"/>
        </w:rPr>
        <w:t>逐步建立以城市社区、乡村绿色回收站（点）为基础，分拣加工中心为核心，加工利用为目的，点面结合的再生资源回收网络体系。以社区为单位，建立分类回收、分拣再生资源的回收站点和网点，引导城乡家庭分类处置生活废弃物。逐步建立建筑垃圾分类回收系统，从设计源头优化方案，削减废弃物产生量，降低建筑材料消耗量。加强清运处置监管，逐步形成管理有序的建筑垃圾清运处置体系。争取到</w:t>
      </w:r>
      <w:r>
        <w:t>2020</w:t>
      </w:r>
      <w:r>
        <w:rPr>
          <w:rFonts w:hint="eastAsia"/>
        </w:rPr>
        <w:t>年，建成集回收站（亭）、中转站、集散市场和加工中心为一体的较为完善的再生资源回收网络，再生资源主要品种回收率达到90%，将全市90%以上的回收从业人员纳入规范化管理，90%以上的社区设立规范的回收站点。</w:t>
      </w:r>
    </w:p>
    <w:p>
      <w:pPr>
        <w:ind w:firstLine="560"/>
      </w:pPr>
      <w:r>
        <w:rPr>
          <w:rFonts w:hint="eastAsia"/>
          <w:b/>
          <w:bCs/>
        </w:rPr>
        <w:t>再生资源交易和利用体系。</w:t>
      </w:r>
      <w:r>
        <w:rPr>
          <w:rFonts w:hint="eastAsia"/>
        </w:rPr>
        <w:t>结合互联网+战略，推动共享经济发展，构建资源回收利用经济价值分享机制，挖掘社会闲置资源潜力，提升资源循环利用效率。加快建设桂林市再生资源循环利用园区，培育规范化的废弃物循环利用示范企业和园区，形成较大规模的再生资源利用产业。在县（自治县）级建立集中的再生资源整理场所，开办各类废旧物资交易市场，吸纳和组织包括个体经营户在内的从业人员进入交易市场开展合法经营。</w:t>
      </w:r>
    </w:p>
    <w:p>
      <w:pPr>
        <w:pStyle w:val="4"/>
        <w:ind w:firstLine="600"/>
      </w:pPr>
      <w:bookmarkStart w:id="248" w:name="_Toc16086"/>
      <w:bookmarkStart w:id="249" w:name="_Toc461547644"/>
      <w:bookmarkStart w:id="250" w:name="_Toc454737425"/>
      <w:bookmarkStart w:id="251" w:name="_Toc4305"/>
      <w:bookmarkStart w:id="252" w:name="_Toc465942591"/>
      <w:bookmarkStart w:id="253" w:name="_Toc16371"/>
      <w:bookmarkStart w:id="254" w:name="_Toc469592795"/>
      <w:bookmarkStart w:id="255" w:name="_Toc4081"/>
      <w:r>
        <w:rPr>
          <w:rFonts w:hint="eastAsia"/>
        </w:rPr>
        <w:t>二、加强生活垃圾循环利用</w:t>
      </w:r>
      <w:bookmarkEnd w:id="248"/>
      <w:bookmarkEnd w:id="249"/>
      <w:bookmarkEnd w:id="250"/>
      <w:bookmarkEnd w:id="251"/>
      <w:bookmarkEnd w:id="252"/>
      <w:bookmarkEnd w:id="253"/>
      <w:bookmarkEnd w:id="254"/>
      <w:bookmarkEnd w:id="255"/>
    </w:p>
    <w:p>
      <w:pPr>
        <w:ind w:firstLine="560"/>
      </w:pPr>
      <w:r>
        <w:rPr>
          <w:rFonts w:hint="eastAsia"/>
        </w:rPr>
        <w:t>充分发挥桂林市作为广西壮族自治区垃圾分类试点示范城市的效应，继续开辟生活垃圾资源化利用途径，提高垃圾处理水平，引导城市生活垃圾采取“焚烧、堆肥和生</w:t>
      </w:r>
      <w:bookmarkStart w:id="389" w:name="_GoBack"/>
      <w:bookmarkEnd w:id="389"/>
      <w:r>
        <w:rPr>
          <w:rFonts w:hint="eastAsia"/>
        </w:rPr>
        <w:t>态处置三结合”的方式，推进生活垃圾合理化循环利用。到2020年，桂林市城市生活垃圾资源化利用比例达到95%以上。</w:t>
      </w:r>
    </w:p>
    <w:p>
      <w:pPr>
        <w:ind w:firstLine="560"/>
      </w:pPr>
      <w:r>
        <w:rPr>
          <w:rFonts w:hint="eastAsia"/>
        </w:rPr>
        <w:t>继续完善和建设生活垃圾分类处理相关配套设施建设，加快推进桂林市餐厨垃圾处理厂、生活垃圾收集及</w:t>
      </w:r>
      <w:r>
        <w:rPr>
          <w:rFonts w:hint="eastAsia"/>
          <w:lang w:eastAsia="zh-CN"/>
        </w:rPr>
        <w:t>转运站</w:t>
      </w:r>
      <w:r>
        <w:rPr>
          <w:rFonts w:hint="eastAsia"/>
        </w:rPr>
        <w:t>、垃圾填埋场等有关项目，形成生活垃圾分类投放、收集、转运、处理“一条龙”的硬件配套设施，促进生活垃圾分类收集、源头减量和资源化利用。鼓励生活垃圾焚烧发电，余热进行能量回收并加以利用，焚烧后的灰分可再利用至建筑材料生产过程，重点建设山口生活垃圾焚烧发电工程项目。推进桂林市生活垃圾“三化”综合处理工程，进一步改造平山垃圾处理厂，完善垃圾分类收集转运系统。</w:t>
      </w:r>
    </w:p>
    <w:p>
      <w:pPr>
        <w:ind w:firstLine="560"/>
      </w:pPr>
      <w:r>
        <w:rPr>
          <w:rFonts w:hint="eastAsia"/>
        </w:rPr>
        <w:t>坚持生活垃圾“大分流、小分类”的源头分类基本模式，建立健全覆盖全市的生活垃圾市、县城、镇（乡）、村屯收运、转输、处理四级系统，使乡村垃圾达到卫生填埋标准。建立社会化的、覆盖设计、生产、流通、消费全过程的生活垃圾源头减量工作机制，最大限度地从源头避免和减少生活垃圾产生。完善生活垃圾处理收费制度。</w:t>
      </w:r>
    </w:p>
    <w:p>
      <w:pPr>
        <w:ind w:firstLine="560"/>
      </w:pPr>
      <w:r>
        <w:rPr>
          <w:rFonts w:hint="eastAsia"/>
        </w:rPr>
        <w:t>积极引导绿色消费和适度消费，限制一次性物品使用，倡导净菜上市、绿色包装等。健全生活垃圾集装化密闭运输系统，加快配套建设多功能的集装箱压缩中转运输系统，提高垃圾收运转的技术经济性，严格控制转运过程中的“二次污染”。</w:t>
      </w:r>
    </w:p>
    <w:p>
      <w:pPr>
        <w:pStyle w:val="3"/>
      </w:pPr>
      <w:bookmarkStart w:id="256" w:name="_Toc465942592"/>
      <w:bookmarkStart w:id="257" w:name="_Toc21576"/>
      <w:bookmarkStart w:id="258" w:name="_Toc454737428"/>
      <w:bookmarkStart w:id="259" w:name="_Toc9811"/>
      <w:bookmarkStart w:id="260" w:name="_Toc10519"/>
      <w:bookmarkStart w:id="261" w:name="_Toc461547647"/>
      <w:bookmarkStart w:id="262" w:name="_Toc699"/>
      <w:bookmarkStart w:id="263" w:name="_Toc12137"/>
      <w:bookmarkStart w:id="264" w:name="_Toc469592796"/>
      <w:r>
        <w:rPr>
          <w:rFonts w:hint="eastAsia"/>
        </w:rPr>
        <w:t>第二节 建设生态人居体系</w:t>
      </w:r>
      <w:bookmarkEnd w:id="256"/>
      <w:bookmarkEnd w:id="257"/>
      <w:bookmarkEnd w:id="258"/>
      <w:bookmarkEnd w:id="259"/>
      <w:bookmarkEnd w:id="260"/>
      <w:bookmarkEnd w:id="261"/>
      <w:bookmarkEnd w:id="262"/>
      <w:bookmarkEnd w:id="263"/>
      <w:bookmarkEnd w:id="264"/>
    </w:p>
    <w:p>
      <w:pPr>
        <w:ind w:firstLine="560"/>
      </w:pPr>
      <w:bookmarkStart w:id="265" w:name="_Toc454737429"/>
      <w:bookmarkStart w:id="266" w:name="_Toc461547648"/>
      <w:r>
        <w:rPr>
          <w:rFonts w:hint="eastAsia"/>
        </w:rPr>
        <w:t>大力实施“生态立市”“保护漓江，发展临桂，再造一个新桂林”战略，以绿色生态理念指导城乡建设，以城市生活社区等为重点，兼顾农村社区，围绕节能、节水、节地、节材和生态环保的要求，引导促进单体绿色建筑建设，开展绿色建筑集中示范，全力改善生态人居环境。</w:t>
      </w:r>
    </w:p>
    <w:p>
      <w:pPr>
        <w:pStyle w:val="4"/>
        <w:ind w:firstLine="600"/>
        <w:rPr>
          <w:szCs w:val="30"/>
        </w:rPr>
      </w:pPr>
      <w:bookmarkStart w:id="267" w:name="_Toc20069"/>
      <w:bookmarkStart w:id="268" w:name="_Toc16081"/>
      <w:bookmarkStart w:id="269" w:name="_Toc5207"/>
      <w:bookmarkStart w:id="270" w:name="_Toc14534"/>
      <w:bookmarkStart w:id="271" w:name="_Toc465942593"/>
      <w:bookmarkStart w:id="272" w:name="_Toc469592797"/>
      <w:r>
        <w:rPr>
          <w:rFonts w:hint="eastAsia"/>
          <w:szCs w:val="30"/>
        </w:rPr>
        <w:t>一、深入推进建筑节能</w:t>
      </w:r>
      <w:bookmarkEnd w:id="265"/>
      <w:bookmarkEnd w:id="266"/>
      <w:bookmarkEnd w:id="267"/>
      <w:bookmarkEnd w:id="268"/>
      <w:bookmarkEnd w:id="269"/>
      <w:bookmarkEnd w:id="270"/>
      <w:bookmarkEnd w:id="271"/>
      <w:bookmarkEnd w:id="272"/>
    </w:p>
    <w:p>
      <w:pPr>
        <w:ind w:firstLine="560"/>
      </w:pPr>
      <w:bookmarkStart w:id="273" w:name="_Toc461547649"/>
      <w:bookmarkStart w:id="274" w:name="_Toc454737430"/>
      <w:r>
        <w:rPr>
          <w:rFonts w:hint="eastAsia"/>
          <w:b/>
          <w:bCs/>
        </w:rPr>
        <w:t>提高建筑能效标准。</w:t>
      </w:r>
      <w:r>
        <w:rPr>
          <w:rFonts w:hint="eastAsia"/>
        </w:rPr>
        <w:t>新建居住建筑和公共建筑在规划、设计、施工、竣工验收备案中须严格执行国家和自治区有关节能标准和规范。到</w:t>
      </w:r>
      <w:r>
        <w:t>2020</w:t>
      </w:r>
      <w:r>
        <w:rPr>
          <w:rFonts w:hint="eastAsia"/>
        </w:rPr>
        <w:t>年，城镇新建公共建筑</w:t>
      </w:r>
      <w:r>
        <w:t>100%</w:t>
      </w:r>
      <w:r>
        <w:rPr>
          <w:rFonts w:hint="eastAsia"/>
        </w:rPr>
        <w:t>达到建筑节能强制性标准要求。新建大型公共建筑建成后必须经过能效专项测评。对具备改造价值的老旧建筑，积极开展供热计量及节能改造，到</w:t>
      </w:r>
      <w:r>
        <w:t>2020</w:t>
      </w:r>
      <w:r>
        <w:rPr>
          <w:rFonts w:hint="eastAsia"/>
        </w:rPr>
        <w:t>年，具备改造价值的老旧住宅的节能改造至少要完成</w:t>
      </w:r>
      <w:r>
        <w:t>60%</w:t>
      </w:r>
      <w:r>
        <w:rPr>
          <w:rFonts w:hint="eastAsia"/>
        </w:rPr>
        <w:t>。</w:t>
      </w:r>
    </w:p>
    <w:p>
      <w:pPr>
        <w:ind w:firstLine="560"/>
      </w:pPr>
      <w:r>
        <w:rPr>
          <w:rFonts w:hint="eastAsia"/>
          <w:b/>
          <w:bCs/>
        </w:rPr>
        <w:t>积极推进照明节能。</w:t>
      </w:r>
      <w:r>
        <w:rPr>
          <w:rFonts w:hint="eastAsia"/>
        </w:rPr>
        <w:t>继续开展“绿色照明工程”，加大全市推广高效节电照明灯具的覆盖面，全部取缔白炽灯。鼓励因地制宜地采用太阳能、风能等可再生能源，为城市公共区域提供照明用电。到</w:t>
      </w:r>
      <w:r>
        <w:t>2020</w:t>
      </w:r>
      <w:r>
        <w:rPr>
          <w:rFonts w:hint="eastAsia"/>
        </w:rPr>
        <w:t>年，全市各级机关、大型商厦、超市、学校及医院等完成绿色照明产品的更换工作，机关、企事业与公益性单位推广应用节能灯具达到</w:t>
      </w:r>
      <w:r>
        <w:t>100%</w:t>
      </w:r>
      <w:r>
        <w:rPr>
          <w:rFonts w:hint="eastAsia"/>
        </w:rPr>
        <w:t>。</w:t>
      </w:r>
    </w:p>
    <w:p>
      <w:pPr>
        <w:ind w:firstLine="560"/>
      </w:pPr>
      <w:r>
        <w:rPr>
          <w:rFonts w:hint="eastAsia"/>
          <w:b/>
          <w:bCs/>
        </w:rPr>
        <w:t>加强公共建筑节能运行管理。</w:t>
      </w:r>
      <w:r>
        <w:rPr>
          <w:rFonts w:hint="eastAsia"/>
        </w:rPr>
        <w:t>继续完善桂林市机关办公建筑和大型公共建筑能耗监测平台的功能，扩大覆盖范围。不断提高大型公共建筑能耗统计工作的质量，尽快建立可计量、可统计、可考核的建筑节能指标体系，对高能耗建筑和具有标杆作用的低能耗建筑进行能效公示。</w:t>
      </w:r>
    </w:p>
    <w:p>
      <w:pPr>
        <w:ind w:firstLine="560"/>
      </w:pPr>
      <w:bookmarkStart w:id="275" w:name="_Toc465942596"/>
      <w:bookmarkStart w:id="276" w:name="_Toc5868"/>
      <w:bookmarkStart w:id="277" w:name="_Toc4633"/>
      <w:bookmarkStart w:id="278" w:name="_Toc23391"/>
      <w:bookmarkStart w:id="279" w:name="_Toc12895"/>
      <w:r>
        <w:rPr>
          <w:rFonts w:hint="eastAsia"/>
          <w:b/>
          <w:bCs/>
        </w:rPr>
        <w:t>推广使用绿色建材</w:t>
      </w:r>
      <w:bookmarkEnd w:id="275"/>
      <w:bookmarkEnd w:id="276"/>
      <w:bookmarkEnd w:id="277"/>
      <w:bookmarkEnd w:id="278"/>
      <w:bookmarkEnd w:id="279"/>
      <w:r>
        <w:rPr>
          <w:rFonts w:hint="eastAsia"/>
          <w:b/>
          <w:bCs/>
        </w:rPr>
        <w:t>。</w:t>
      </w:r>
      <w:r>
        <w:rPr>
          <w:rFonts w:hint="eastAsia"/>
        </w:rPr>
        <w:t>推广应用高性能、低材（能）耗、可再生循环利用的建筑材料，鼓励采用粉煤灰、建筑垃圾等废弃物生产的再生砖，推广采用无毒无害固体废物生产的建筑材料等，大力推广应用高强钢和高性能混凝土。大力开展绿色与节能建材的研发推广，组织研发和推广墙体自保温体系、新型节能门窗、环保装修建材、保温隔热材料、高强高性能混凝土、高强钢筋、资源综合利用及绿色建材检测技术等一批新技术、新材料。绿色建材应用量占总建材用量的比例逐年提高。</w:t>
      </w:r>
    </w:p>
    <w:p>
      <w:pPr>
        <w:pStyle w:val="4"/>
        <w:ind w:firstLine="600"/>
      </w:pPr>
      <w:bookmarkStart w:id="280" w:name="_Toc465942594"/>
      <w:bookmarkStart w:id="281" w:name="_Toc9682"/>
      <w:bookmarkStart w:id="282" w:name="_Toc18081"/>
      <w:bookmarkStart w:id="283" w:name="_Toc469592798"/>
      <w:bookmarkStart w:id="284" w:name="_Toc24315"/>
      <w:bookmarkStart w:id="285" w:name="_Toc5345"/>
      <w:r>
        <w:rPr>
          <w:rFonts w:hint="eastAsia"/>
        </w:rPr>
        <w:t>二、建立节水型社会</w:t>
      </w:r>
      <w:bookmarkEnd w:id="273"/>
      <w:bookmarkEnd w:id="274"/>
      <w:bookmarkEnd w:id="280"/>
      <w:bookmarkEnd w:id="281"/>
      <w:bookmarkEnd w:id="282"/>
      <w:bookmarkEnd w:id="283"/>
      <w:bookmarkEnd w:id="284"/>
      <w:bookmarkEnd w:id="285"/>
    </w:p>
    <w:p>
      <w:pPr>
        <w:ind w:firstLine="560"/>
      </w:pPr>
      <w:bookmarkStart w:id="286" w:name="_Toc454737431"/>
      <w:bookmarkStart w:id="287" w:name="_Toc461547650"/>
      <w:r>
        <w:rPr>
          <w:rFonts w:hint="eastAsia"/>
          <w:b/>
          <w:bCs/>
        </w:rPr>
        <w:t>推进城乡再生水应用。</w:t>
      </w:r>
      <w:r>
        <w:rPr>
          <w:rFonts w:hint="eastAsia"/>
        </w:rPr>
        <w:t>合理布局再生水管道，推动公共建筑、生活小区、住宅等节水和再生水回用设施建设。扩大再生水应用范围，禁止在有再生水水源的区域内，使用自来水作为道路清扫、洗车、绿化和景观用水。结合区域用水构成，加大再生水用户开发，制定适合特定用户水质要求的回用技术方案，加强新工艺新技术的开发利用，提高污水再生利用水平。到2020年，城镇污水处理设施再生水利用率达到90%以上。</w:t>
      </w:r>
    </w:p>
    <w:p>
      <w:pPr>
        <w:ind w:firstLine="560"/>
      </w:pPr>
      <w:r>
        <w:rPr>
          <w:rFonts w:hint="eastAsia"/>
          <w:b/>
          <w:bCs/>
        </w:rPr>
        <w:t>推广节水产品器具。</w:t>
      </w:r>
      <w:r>
        <w:rPr>
          <w:rFonts w:hint="eastAsia"/>
        </w:rPr>
        <w:t>在宾馆、饭店、洗浴等重点用水行业和公共机构、居民生活等领域，大力推广先进适用节水产品器具，禁止未经认证的非节水型器具销售。到2020年，基本建立水资源合理配置和高效利用的考核指标体系；建立完善的用水总量控制和定额管理制度，桂林市年用水总量控制在43.71亿立方米，万元工业增加值用水量下降到60吨，农业灌溉水有效利用系数提高到0.55，全市节水器具普及率达到80%以上。</w:t>
      </w:r>
    </w:p>
    <w:p>
      <w:pPr>
        <w:ind w:firstLine="560"/>
      </w:pPr>
      <w:r>
        <w:rPr>
          <w:rFonts w:hint="eastAsia"/>
          <w:b/>
          <w:bCs/>
        </w:rPr>
        <w:t>开展“海绵城市”建设。</w:t>
      </w:r>
      <w:r>
        <w:rPr>
          <w:rFonts w:hint="eastAsia"/>
        </w:rPr>
        <w:t>以桂林市入选自治区“海绵城市”试点为契机，在试点区域开展海绵型建筑与小区、道路与广场、公园绿地、公共服务设施、排水防涝设施、水系保护与修复等6类海绵城市重点项目基础设施建设，按照海绵城市的标准进行规划、设计和建设，到2017年形成可推广、可复制的示范项目，以点带面、全面推进桂林市海绵城市建设。到2020年，与自治区同步实现城市建成区20%以上的面积达到将70%的降雨就地消纳和利用的目标要求。</w:t>
      </w:r>
    </w:p>
    <w:p>
      <w:pPr>
        <w:pStyle w:val="4"/>
        <w:ind w:firstLine="600"/>
      </w:pPr>
      <w:bookmarkStart w:id="288" w:name="_Toc25085"/>
      <w:bookmarkStart w:id="289" w:name="_Toc3042"/>
      <w:bookmarkStart w:id="290" w:name="_Toc465942595"/>
      <w:bookmarkStart w:id="291" w:name="_Toc11694"/>
      <w:bookmarkStart w:id="292" w:name="_Toc469592799"/>
      <w:bookmarkStart w:id="293" w:name="_Toc23538"/>
      <w:r>
        <w:rPr>
          <w:rFonts w:hint="eastAsia"/>
        </w:rPr>
        <w:t>三、集约节约利用土地</w:t>
      </w:r>
      <w:bookmarkEnd w:id="286"/>
      <w:bookmarkEnd w:id="287"/>
      <w:bookmarkEnd w:id="288"/>
      <w:bookmarkEnd w:id="289"/>
      <w:bookmarkEnd w:id="290"/>
      <w:bookmarkEnd w:id="291"/>
      <w:bookmarkEnd w:id="292"/>
      <w:bookmarkEnd w:id="293"/>
    </w:p>
    <w:p>
      <w:pPr>
        <w:ind w:firstLine="560"/>
      </w:pPr>
      <w:bookmarkStart w:id="294" w:name="_Toc454737432"/>
      <w:bookmarkStart w:id="295" w:name="_Toc461547651"/>
      <w:r>
        <w:rPr>
          <w:rFonts w:hint="eastAsia"/>
          <w:b/>
          <w:bCs/>
        </w:rPr>
        <w:t>提高空间利用率。</w:t>
      </w:r>
      <w:r>
        <w:rPr>
          <w:rFonts w:hint="eastAsia"/>
          <w:bCs/>
        </w:rPr>
        <w:t>满足城市限高的前提下</w:t>
      </w:r>
      <w:r>
        <w:rPr>
          <w:rFonts w:hint="eastAsia"/>
        </w:rPr>
        <w:t>鼓励建设多层、小高层住宅和多层厂房。加大园区及开发区的整合力度，严把开发区“入园门槛”，对土地利用集约度低的予以撤并，构建工业用地退出机制。建立完善集约节约用地动态考核机制，构建企业用地信用评级和责任追究机制。</w:t>
      </w:r>
    </w:p>
    <w:p>
      <w:pPr>
        <w:ind w:firstLine="560"/>
      </w:pPr>
      <w:r>
        <w:rPr>
          <w:rFonts w:hint="eastAsia"/>
          <w:b/>
          <w:bCs/>
        </w:rPr>
        <w:t>合理拓展地下空间开发。</w:t>
      </w:r>
      <w:r>
        <w:rPr>
          <w:rFonts w:hint="eastAsia"/>
        </w:rPr>
        <w:t>确立立体的综合开发利用观，实行一体化规划模式，全面提升城市土地利用价值；制定地下空间开发、建设和管理的实施细则，统筹地面空间与地下空间开发，促进地面开发与地下空间利用的协调统一；调控地下空间开发利用层次，避免地下空间利用功能单一；加大对公益性地下空间开发的支持力度。加大农村土地整治力度。</w:t>
      </w:r>
    </w:p>
    <w:bookmarkEnd w:id="294"/>
    <w:bookmarkEnd w:id="295"/>
    <w:p>
      <w:pPr>
        <w:pStyle w:val="4"/>
        <w:ind w:firstLine="600"/>
      </w:pPr>
      <w:bookmarkStart w:id="296" w:name="_Toc28824"/>
      <w:bookmarkStart w:id="297" w:name="_Toc21185"/>
      <w:bookmarkStart w:id="298" w:name="_Toc31398"/>
      <w:bookmarkStart w:id="299" w:name="_Toc465942597"/>
      <w:bookmarkStart w:id="300" w:name="_Toc11189"/>
      <w:bookmarkStart w:id="301" w:name="_Toc469592800"/>
      <w:r>
        <w:rPr>
          <w:rFonts w:hint="eastAsia"/>
        </w:rPr>
        <w:t>四、构建绿色交通体系</w:t>
      </w:r>
      <w:bookmarkEnd w:id="296"/>
      <w:bookmarkEnd w:id="297"/>
      <w:bookmarkEnd w:id="298"/>
      <w:bookmarkEnd w:id="299"/>
      <w:bookmarkEnd w:id="300"/>
      <w:bookmarkEnd w:id="301"/>
    </w:p>
    <w:p>
      <w:pPr>
        <w:ind w:firstLine="560"/>
      </w:pPr>
      <w:r>
        <w:rPr>
          <w:rFonts w:hint="eastAsia"/>
          <w:b/>
          <w:bCs/>
        </w:rPr>
        <w:t>推广绿色交通工具。</w:t>
      </w:r>
      <w:r>
        <w:rPr>
          <w:rFonts w:hint="eastAsia"/>
        </w:rPr>
        <w:t>深入实施“公交优先”战略，大力改善公交网络，提高公交服务质量，倡导公众优先选择节能环保、有益健康、兼顾效率的出行方式。加快推进CNG汽车、LNG汽车、混合动力汽车、纯电动汽车等清洁能源汽车应用，通过采购和推广新能源和清洁能源汽车，继续推动绿色车队建设，在公交和环卫、公安、消防等政府公务用车中开展以混合动力和电动汽车等为重点的规模应用示范，漓江及两江四湖游船全面使用清洁能源。积极推广智能控制和节油装置，大力发展节油添加剂，推行泊车熄火等节油措施。推广汽车利用天然气、醇类燃料、合成燃料和生物柴油等替代燃料技术，推广绿色维修技术。加强</w:t>
      </w:r>
      <w:r>
        <w:t>LNG</w:t>
      </w:r>
      <w:r>
        <w:rPr>
          <w:rFonts w:hint="eastAsia"/>
        </w:rPr>
        <w:t>加注站、</w:t>
      </w:r>
      <w:r>
        <w:t>CNG</w:t>
      </w:r>
      <w:r>
        <w:rPr>
          <w:rFonts w:hint="eastAsia"/>
        </w:rPr>
        <w:t>加气站、新能源车充电桩建设，保障清洁能源供应。倡导低碳交通，鼓励“1、3、5”绿色出行，即：1公里内步行、3公里内骑自行车、5公里以上坐公交车；建立健全适合自行车骑行的公共交通网络，加强与企业合作，大力推广公共自行车、共享单车，在校园、公交站点、居民区、商业区、公共服务区等提供自行车单车共享服务。</w:t>
      </w:r>
    </w:p>
    <w:p>
      <w:pPr>
        <w:ind w:firstLine="560"/>
      </w:pPr>
      <w:r>
        <w:rPr>
          <w:rFonts w:hint="eastAsia"/>
          <w:b/>
          <w:bCs/>
        </w:rPr>
        <w:t>强化交通工具的“绿化”管理。</w:t>
      </w:r>
      <w:r>
        <w:rPr>
          <w:rFonts w:hint="eastAsia"/>
        </w:rPr>
        <w:t>完善交通节能标准政策，结合国家关于营运车辆能耗限额标准制定公交车、出租车、营运性客货运车等的油耗限额的核查方法或核查措施。探索新能源汽车分时租赁机制。严格执行营运车辆燃料消耗限值准入管理，加快淘汰黄标车限行管理，设定黄标车限行区域，限制黄标车使用；强化检测和维护制度，确保机动车排放符合排放标准；新增和更新公交车辆提前执行相应污染物排放标准。</w:t>
      </w:r>
    </w:p>
    <w:p>
      <w:pPr>
        <w:ind w:firstLine="560"/>
        <w:sectPr>
          <w:pgSz w:w="11906" w:h="16838"/>
          <w:pgMar w:top="1440" w:right="1800" w:bottom="1440" w:left="1800" w:header="851" w:footer="992" w:gutter="0"/>
          <w:cols w:space="425" w:num="1"/>
          <w:docGrid w:type="lines" w:linePitch="326" w:charSpace="0"/>
        </w:sectPr>
      </w:pPr>
      <w:r>
        <w:rPr>
          <w:rFonts w:hint="eastAsia"/>
          <w:b/>
          <w:bCs/>
        </w:rPr>
        <w:t>开展绿色枢纽建设。</w:t>
      </w:r>
      <w:r>
        <w:rPr>
          <w:rFonts w:hint="eastAsia"/>
        </w:rPr>
        <w:t>通过采用自然通风采光系统、太阳能、风能利用系统、地源热泵系统、节能照明通风系统、污水处理与利用系统等，推进绿色枢纽建设。重点针对桂林北综合客运枢纽、桂林南站、桂林西站、临桂新区物流园、两江机场T2航站楼、兴坪旅游码头等开展绿色枢纽建筑技术措施应用，绿色建筑节能等级达到二级水平。</w:t>
      </w:r>
    </w:p>
    <w:p>
      <w:pPr>
        <w:pStyle w:val="2"/>
      </w:pPr>
      <w:bookmarkStart w:id="302" w:name="_Toc465942598"/>
      <w:bookmarkStart w:id="303" w:name="_Toc4566"/>
      <w:bookmarkStart w:id="304" w:name="_Toc29335"/>
      <w:bookmarkStart w:id="305" w:name="_Toc469592801"/>
      <w:bookmarkStart w:id="306" w:name="_Toc5081"/>
      <w:bookmarkStart w:id="307" w:name="_Toc26791"/>
      <w:bookmarkStart w:id="308" w:name="_Toc23567"/>
      <w:r>
        <w:rPr>
          <w:rFonts w:hint="eastAsia"/>
        </w:rPr>
        <w:t>第五章</w:t>
      </w:r>
      <w:bookmarkEnd w:id="302"/>
      <w:bookmarkEnd w:id="303"/>
      <w:bookmarkEnd w:id="304"/>
      <w:bookmarkEnd w:id="305"/>
      <w:bookmarkEnd w:id="306"/>
      <w:bookmarkEnd w:id="307"/>
      <w:r>
        <w:rPr>
          <w:rFonts w:hint="eastAsia"/>
        </w:rPr>
        <w:t>重点任务</w:t>
      </w:r>
      <w:bookmarkEnd w:id="308"/>
    </w:p>
    <w:p>
      <w:pPr>
        <w:ind w:firstLine="560"/>
      </w:pPr>
      <w:r>
        <w:t>规划期间，围绕“十</w:t>
      </w:r>
      <w:r>
        <w:rPr>
          <w:rFonts w:hint="eastAsia"/>
        </w:rPr>
        <w:t>三</w:t>
      </w:r>
      <w:r>
        <w:t>五”循环经济发展目标</w:t>
      </w:r>
      <w:r>
        <w:rPr>
          <w:rFonts w:hint="eastAsia"/>
        </w:rPr>
        <w:t>，按产业链、价值链两链集聚项目，实行产业、企业和行政事业单位间的循环链接，重点</w:t>
      </w:r>
      <w:r>
        <w:t>实施</w:t>
      </w:r>
      <w:r>
        <w:rPr>
          <w:rFonts w:hint="eastAsia"/>
        </w:rPr>
        <w:t>绿色建筑</w:t>
      </w:r>
      <w:r>
        <w:t>、</w:t>
      </w:r>
      <w:r>
        <w:rPr>
          <w:rFonts w:hint="eastAsia"/>
        </w:rPr>
        <w:t>清洁生产、资源综合利用、节能降耗、示范工程</w:t>
      </w:r>
      <w:r>
        <w:t>等</w:t>
      </w:r>
      <w:r>
        <w:rPr>
          <w:rFonts w:hint="eastAsia"/>
        </w:rPr>
        <w:t>五</w:t>
      </w:r>
      <w:r>
        <w:t>大</w:t>
      </w:r>
      <w:r>
        <w:rPr>
          <w:rFonts w:hint="eastAsia"/>
        </w:rPr>
        <w:t>领域循环经济的推动计划。</w:t>
      </w:r>
      <w:r>
        <w:t>到</w:t>
      </w:r>
      <w:r>
        <w:rPr>
          <w:rFonts w:hint="eastAsia"/>
        </w:rPr>
        <w:t>2020</w:t>
      </w:r>
      <w:r>
        <w:t>年，实现循环经济项目</w:t>
      </w:r>
      <w:r>
        <w:rPr>
          <w:rFonts w:hint="eastAsia"/>
        </w:rPr>
        <w:t>2</w:t>
      </w:r>
      <w:r>
        <w:t>00个</w:t>
      </w:r>
      <w:r>
        <w:rPr>
          <w:rFonts w:hint="eastAsia"/>
        </w:rPr>
        <w:t>、</w:t>
      </w:r>
      <w:r>
        <w:t>示范企业100个的规划目标，促进循环经济产业形成较大规模，提升产业发展水平</w:t>
      </w:r>
      <w:r>
        <w:rPr>
          <w:rFonts w:hint="eastAsia"/>
        </w:rPr>
        <w:t>。</w:t>
      </w:r>
    </w:p>
    <w:p>
      <w:pPr>
        <w:pStyle w:val="3"/>
      </w:pPr>
      <w:bookmarkStart w:id="309" w:name="_Toc454737406"/>
      <w:bookmarkStart w:id="310" w:name="_Toc461547625"/>
      <w:bookmarkStart w:id="311" w:name="_Toc465942599"/>
      <w:bookmarkStart w:id="312" w:name="_Toc469592802"/>
      <w:bookmarkStart w:id="313" w:name="_Toc13338"/>
      <w:bookmarkStart w:id="314" w:name="_Toc14687"/>
      <w:bookmarkStart w:id="315" w:name="_Toc21645"/>
      <w:bookmarkStart w:id="316" w:name="_Toc8328"/>
      <w:bookmarkStart w:id="317" w:name="_Toc5722"/>
      <w:r>
        <w:rPr>
          <w:rFonts w:hint="eastAsia"/>
        </w:rPr>
        <w:t xml:space="preserve">第一节 </w:t>
      </w:r>
      <w:bookmarkEnd w:id="309"/>
      <w:bookmarkEnd w:id="310"/>
      <w:bookmarkEnd w:id="311"/>
      <w:r>
        <w:rPr>
          <w:rFonts w:hint="eastAsia"/>
        </w:rPr>
        <w:t>实施绿色建筑行动</w:t>
      </w:r>
      <w:bookmarkEnd w:id="312"/>
      <w:bookmarkEnd w:id="313"/>
      <w:bookmarkEnd w:id="314"/>
      <w:bookmarkEnd w:id="315"/>
      <w:bookmarkEnd w:id="316"/>
      <w:bookmarkEnd w:id="317"/>
    </w:p>
    <w:p>
      <w:pPr>
        <w:ind w:firstLine="560"/>
      </w:pPr>
      <w:r>
        <w:rPr>
          <w:rFonts w:hint="eastAsia"/>
          <w:b/>
        </w:rPr>
        <w:t>新建建筑节能工程。</w:t>
      </w:r>
      <w:r>
        <w:rPr>
          <w:rFonts w:hint="eastAsia"/>
        </w:rPr>
        <w:t>认真落实《桂林市绿色建筑专项规划》《桂林市绿色建筑行动方案》《桂林市绿色建筑实施细则》政策性文件，加强建筑节能监管工作，在施工图审查中加强对绿色建筑专篇的审查要求。狠抓源头，确保项目严格落实绿色建筑设计，确保建筑节能监管工作介入到项目建设的每一环节。加快编制《桂林市农村绿色建筑适宜技术研究》，促进绿色建筑在农村健康、快速发展。启动编制《桂林市绿色生态城区建设技术导则》，指导临桂新区、经济技术开发区、高新技术产业开发区、生态工业示范园区、城市生活区全部按照绿色生态城区标准规划、建设、管理和运行，将绿色、低碳、生态理念落实到城区建筑、交通、能源、市政及产业发展的各个方面，加快绿色建筑由单体推广向集中连片发展的转变。到2020年底，新建建筑</w:t>
      </w:r>
      <w:r>
        <w:t>100%</w:t>
      </w:r>
      <w:r>
        <w:rPr>
          <w:rFonts w:hint="eastAsia"/>
        </w:rPr>
        <w:t>达到建筑节能强制性标准要求，临桂新区建设成为绿色建筑生态山水城，并力争列入成国家绿色生态城区试点示范。</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0" w:firstLineChars="0"/>
              <w:jc w:val="center"/>
              <w:rPr>
                <w:b/>
                <w:sz w:val="24"/>
                <w:szCs w:val="24"/>
              </w:rPr>
            </w:pPr>
            <w:r>
              <w:rPr>
                <w:rFonts w:hint="eastAsia"/>
                <w:b/>
                <w:sz w:val="24"/>
                <w:szCs w:val="24"/>
              </w:rPr>
              <w:t>专栏3：绿色建筑发展重点领域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480"/>
              <w:rPr>
                <w:sz w:val="24"/>
                <w:szCs w:val="24"/>
              </w:rPr>
            </w:pPr>
            <w:r>
              <w:rPr>
                <w:rFonts w:hint="eastAsia"/>
                <w:sz w:val="24"/>
                <w:szCs w:val="24"/>
              </w:rPr>
              <w:t>1.政府投资的国家机关、学校、医院、博物馆、科技馆、体育馆等公益性建筑，其他单体建筑面积超过2万平方米的机场、车站、宾馆、饭店、商场、写字楼等大型公共建筑全面执行绿色建筑标准。政府投资的保障性住房按住房城乡建设厅要求建设一定比例的绿色建筑。</w:t>
            </w:r>
          </w:p>
          <w:p>
            <w:pPr>
              <w:ind w:firstLine="480"/>
              <w:rPr>
                <w:sz w:val="24"/>
                <w:szCs w:val="24"/>
              </w:rPr>
            </w:pPr>
            <w:r>
              <w:rPr>
                <w:rFonts w:hint="eastAsia"/>
                <w:sz w:val="24"/>
                <w:szCs w:val="24"/>
              </w:rPr>
              <w:t>2.新建总面积在5万平方米以上的住宅小区需按绿色建筑标准建设。以各工业园区为重点推广绿色工业建筑。</w:t>
            </w:r>
          </w:p>
          <w:p>
            <w:pPr>
              <w:widowControl/>
              <w:ind w:firstLineChars="0"/>
              <w:jc w:val="left"/>
              <w:rPr>
                <w:sz w:val="24"/>
                <w:szCs w:val="24"/>
              </w:rPr>
            </w:pPr>
            <w:r>
              <w:rPr>
                <w:rFonts w:hint="eastAsia"/>
                <w:sz w:val="24"/>
                <w:szCs w:val="24"/>
              </w:rPr>
              <w:t xml:space="preserve">  3.开展示范工作。建立绿色建筑示范项目库，在获得绿色建筑设计标识后公布列入桂林市绿色建筑试点示范，列入示范的项目在绿色建筑优惠政策中享有优先待遇。</w:t>
            </w:r>
          </w:p>
          <w:p>
            <w:pPr>
              <w:ind w:firstLine="480"/>
              <w:rPr>
                <w:sz w:val="24"/>
                <w:szCs w:val="24"/>
              </w:rPr>
            </w:pPr>
            <w:r>
              <w:rPr>
                <w:rFonts w:hint="eastAsia"/>
                <w:sz w:val="24"/>
                <w:szCs w:val="24"/>
              </w:rPr>
              <w:t>4.推进绿色农房建设。制定村镇绿色生态发展指导意见，逐步推行农村绿色建筑适宜技术。结合农村环境连片整治示范、“美丽桂林，清洁乡村”、城乡风貌改造、农村危旧房改造等专项工作推进绿色农房建设。</w:t>
            </w:r>
          </w:p>
        </w:tc>
      </w:tr>
    </w:tbl>
    <w:p>
      <w:pPr>
        <w:ind w:firstLine="560"/>
      </w:pPr>
    </w:p>
    <w:p>
      <w:pPr>
        <w:widowControl/>
        <w:snapToGrid w:val="0"/>
        <w:ind w:firstLine="420" w:firstLineChars="0"/>
        <w:jc w:val="left"/>
      </w:pPr>
      <w:r>
        <w:rPr>
          <w:rFonts w:hint="eastAsia"/>
          <w:b/>
        </w:rPr>
        <w:t>既有建筑节能改造工程。</w:t>
      </w:r>
      <w:r>
        <w:rPr>
          <w:rFonts w:hint="eastAsia"/>
        </w:rPr>
        <w:t>积极推动重点公共建筑和公共机构开展节能改造或绿色改造示范；探索建立既有居住建筑节能改造的长效机制和市场化综合改造模式；将节能改造与旧城功能优化提升有机结合，在棚户区、城中村改造和老旧小区综合整治过程中同步推进；鼓励有条件的居住组团、小区探索智慧社区的实施路径。鼓励应用合同能源管理、PPP等创新模式实施改造，拓宽融资渠道，建立完善多元化的资金筹措方式，健全公共建筑节能改造市场机制。强化监督管理，加强对改造项目设计、施工、验收等环节的监管，确保改造工程质量和节能效果。</w:t>
      </w:r>
    </w:p>
    <w:p>
      <w:pPr>
        <w:widowControl/>
        <w:snapToGrid w:val="0"/>
        <w:ind w:firstLine="420" w:firstLineChars="0"/>
        <w:jc w:val="left"/>
      </w:pP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ind w:firstLine="0" w:firstLineChars="0"/>
              <w:jc w:val="center"/>
              <w:rPr>
                <w:b/>
                <w:sz w:val="24"/>
                <w:szCs w:val="24"/>
              </w:rPr>
            </w:pPr>
            <w:r>
              <w:rPr>
                <w:rFonts w:hint="eastAsia"/>
                <w:b/>
                <w:sz w:val="24"/>
                <w:szCs w:val="24"/>
              </w:rPr>
              <w:t>专栏4：既有建筑节能改造重点领域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snapToGrid w:val="0"/>
              <w:ind w:firstLine="420" w:firstLineChars="0"/>
              <w:jc w:val="left"/>
              <w:rPr>
                <w:sz w:val="24"/>
                <w:szCs w:val="24"/>
              </w:rPr>
            </w:pPr>
            <w:r>
              <w:rPr>
                <w:rFonts w:hint="eastAsia"/>
                <w:sz w:val="24"/>
                <w:szCs w:val="24"/>
              </w:rPr>
              <w:t>1.既有公共建筑节能改造。以政府办公建筑、学校、医院、宾馆、商场等为主要对象，以暖通、照明、热水、电梯等用能系统及设备为改造重点，积极提高公共建筑的用能效率。鼓励采取合同能源管理模式推动公共建筑节能改造工作，按项目节能量给予奖励。</w:t>
            </w:r>
          </w:p>
          <w:p>
            <w:pPr>
              <w:widowControl/>
              <w:snapToGrid w:val="0"/>
              <w:ind w:firstLine="480"/>
              <w:jc w:val="left"/>
              <w:rPr>
                <w:sz w:val="24"/>
                <w:szCs w:val="24"/>
              </w:rPr>
            </w:pPr>
            <w:r>
              <w:rPr>
                <w:rFonts w:hint="eastAsia"/>
                <w:sz w:val="24"/>
                <w:szCs w:val="24"/>
              </w:rPr>
              <w:t>2.既有居住建筑节能改造。重点实施的范围为棚户区改造项目、城中村改造项目、旧区改造项目。对于不具备实施全面改造条件的既有居住建筑，优先采用屋面隔热改造、屋顶“平改坡”、门窗改造、增加遮阳、改装楼道灯、统一安装太阳能热水器，最后为围护结构改造，并逐项符合建筑节能改造标准要求。</w:t>
            </w:r>
          </w:p>
          <w:p>
            <w:pPr>
              <w:widowControl/>
              <w:snapToGrid w:val="0"/>
              <w:ind w:firstLine="480"/>
              <w:jc w:val="left"/>
              <w:rPr>
                <w:sz w:val="24"/>
                <w:szCs w:val="24"/>
              </w:rPr>
            </w:pPr>
            <w:r>
              <w:rPr>
                <w:rFonts w:hint="eastAsia"/>
                <w:sz w:val="24"/>
                <w:szCs w:val="24"/>
              </w:rPr>
              <w:t>3.开展“智慧小区”行动。研究制定《绿色智慧住区建设导则》，组织开展绿色智慧住区示范创建。以小区为节点，在基础设施、管理、服务、智能家居等几方面进行提升，为居民提供全方位的生活服务，倡导小区建设绿色低碳“智慧的生活”。</w:t>
            </w:r>
          </w:p>
        </w:tc>
      </w:tr>
    </w:tbl>
    <w:p>
      <w:pPr>
        <w:widowControl/>
        <w:snapToGrid w:val="0"/>
        <w:ind w:firstLine="420" w:firstLineChars="0"/>
        <w:jc w:val="left"/>
      </w:pPr>
    </w:p>
    <w:p>
      <w:pPr>
        <w:widowControl/>
        <w:spacing w:line="615" w:lineRule="atLeast"/>
        <w:ind w:firstLine="420" w:firstLineChars="0"/>
        <w:jc w:val="left"/>
      </w:pPr>
      <w:r>
        <w:rPr>
          <w:rFonts w:hint="eastAsia"/>
          <w:b/>
        </w:rPr>
        <w:t>可再生能源建筑推广应用工程。</w:t>
      </w:r>
      <w:r>
        <w:rPr>
          <w:rFonts w:hint="eastAsia"/>
        </w:rPr>
        <w:t>积极推动太阳能、浅层地热能等可再生能源在建筑中的应用，且优先考虑太阳能技术，其次因地制宜采用地表水（湖泊水、江河水）源热泵、污水源热泵系统、土壤源热泵，积极探索太阳能光电应用的方式方法。政府投资的民用建筑工程项目，至少利用一种可再生能源。在绿色生态城区（城镇）建设中，将可再生能源建筑应用比例作为约束性指标，实施集中连片推广。加强可再生能源建筑应用的资源评估、规划设计、施工验收和运行管理，保证可再生能源建筑应用工程质量。鼓励可再生能源在农村建筑中的规模化应用，开展被动式太阳房、可再生能源采暖试点，提升生物质能在农村建筑中的应用比例。</w:t>
      </w:r>
    </w:p>
    <w:p>
      <w:pPr>
        <w:widowControl/>
        <w:spacing w:line="615" w:lineRule="atLeast"/>
        <w:ind w:firstLine="420" w:firstLineChars="0"/>
        <w:jc w:val="left"/>
      </w:pP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widowControl/>
              <w:ind w:firstLine="420" w:firstLineChars="0"/>
              <w:jc w:val="center"/>
              <w:rPr>
                <w:b/>
                <w:sz w:val="24"/>
                <w:szCs w:val="24"/>
              </w:rPr>
            </w:pPr>
            <w:r>
              <w:rPr>
                <w:rFonts w:hint="eastAsia"/>
                <w:b/>
                <w:sz w:val="24"/>
                <w:szCs w:val="24"/>
              </w:rPr>
              <w:t>专栏5：桂林市可再生能源建筑应用重点范围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520" w:lineRule="exact"/>
              <w:ind w:firstLine="0" w:firstLineChars="0"/>
              <w:rPr>
                <w:sz w:val="24"/>
                <w:szCs w:val="24"/>
              </w:rPr>
            </w:pPr>
            <w:r>
              <w:rPr>
                <w:rFonts w:hint="eastAsia"/>
                <w:sz w:val="24"/>
                <w:szCs w:val="24"/>
              </w:rPr>
              <w:t>1.建筑面积 10000㎡以上（含 10000㎡）使用中央空调的公共建筑；</w:t>
            </w:r>
          </w:p>
          <w:p>
            <w:pPr>
              <w:spacing w:line="520" w:lineRule="exact"/>
              <w:ind w:firstLine="0" w:firstLineChars="0"/>
              <w:rPr>
                <w:sz w:val="24"/>
                <w:szCs w:val="24"/>
              </w:rPr>
            </w:pPr>
            <w:r>
              <w:rPr>
                <w:rFonts w:hint="eastAsia"/>
                <w:sz w:val="24"/>
                <w:szCs w:val="24"/>
              </w:rPr>
              <w:t>2.提供热水供应的宾馆、酒店、医院、宿舍；</w:t>
            </w:r>
          </w:p>
          <w:p>
            <w:pPr>
              <w:spacing w:line="520" w:lineRule="exact"/>
              <w:ind w:firstLine="0" w:firstLineChars="0"/>
              <w:rPr>
                <w:sz w:val="24"/>
                <w:szCs w:val="24"/>
              </w:rPr>
            </w:pPr>
            <w:r>
              <w:rPr>
                <w:rFonts w:hint="eastAsia"/>
                <w:sz w:val="24"/>
                <w:szCs w:val="24"/>
              </w:rPr>
              <w:t>3.12 层以下的住宅建筑；</w:t>
            </w:r>
          </w:p>
          <w:p>
            <w:pPr>
              <w:spacing w:line="520" w:lineRule="exact"/>
              <w:ind w:firstLine="0" w:firstLineChars="0"/>
              <w:rPr>
                <w:sz w:val="24"/>
                <w:szCs w:val="24"/>
              </w:rPr>
            </w:pPr>
            <w:r>
              <w:rPr>
                <w:rFonts w:hint="eastAsia"/>
                <w:sz w:val="24"/>
                <w:szCs w:val="24"/>
              </w:rPr>
              <w:t>4.保障性住房；</w:t>
            </w:r>
          </w:p>
          <w:p>
            <w:pPr>
              <w:spacing w:line="520" w:lineRule="exact"/>
              <w:ind w:firstLine="0" w:firstLineChars="0"/>
              <w:rPr>
                <w:sz w:val="24"/>
                <w:szCs w:val="24"/>
              </w:rPr>
            </w:pPr>
            <w:r>
              <w:rPr>
                <w:rFonts w:hint="eastAsia"/>
                <w:sz w:val="24"/>
                <w:szCs w:val="24"/>
              </w:rPr>
              <w:t xml:space="preserve">5.总面积 50000㎡以上（含 50000㎡）的建筑群。 </w:t>
            </w:r>
          </w:p>
        </w:tc>
      </w:tr>
    </w:tbl>
    <w:p>
      <w:pPr>
        <w:ind w:firstLine="560"/>
        <w:jc w:val="center"/>
      </w:pPr>
      <w:bookmarkStart w:id="318" w:name="_Toc462406594"/>
      <w:bookmarkStart w:id="319" w:name="_Toc465942600"/>
      <w:bookmarkStart w:id="320" w:name="_Toc15418"/>
      <w:bookmarkStart w:id="321" w:name="_Toc26434"/>
      <w:bookmarkStart w:id="322" w:name="_Toc2557"/>
      <w:bookmarkStart w:id="323" w:name="_Toc26001"/>
    </w:p>
    <w:p>
      <w:pPr>
        <w:pStyle w:val="3"/>
      </w:pPr>
      <w:bookmarkStart w:id="324" w:name="_Toc469592803"/>
      <w:bookmarkStart w:id="325" w:name="_Toc8791"/>
      <w:r>
        <w:rPr>
          <w:rFonts w:hint="eastAsia"/>
        </w:rPr>
        <w:t xml:space="preserve">第二节 </w:t>
      </w:r>
      <w:bookmarkEnd w:id="318"/>
      <w:bookmarkEnd w:id="319"/>
      <w:r>
        <w:rPr>
          <w:rFonts w:hint="eastAsia"/>
        </w:rPr>
        <w:t>持续推进清洁生产</w:t>
      </w:r>
      <w:bookmarkEnd w:id="320"/>
      <w:bookmarkEnd w:id="321"/>
      <w:bookmarkEnd w:id="322"/>
      <w:bookmarkEnd w:id="323"/>
      <w:bookmarkEnd w:id="324"/>
      <w:bookmarkEnd w:id="325"/>
    </w:p>
    <w:p>
      <w:pPr>
        <w:ind w:firstLine="560"/>
        <w:rPr>
          <w:color w:val="000000"/>
          <w:szCs w:val="28"/>
        </w:rPr>
      </w:pPr>
      <w:r>
        <w:rPr>
          <w:b/>
          <w:color w:val="000000"/>
          <w:szCs w:val="28"/>
        </w:rPr>
        <w:t>清洁生产审核</w:t>
      </w:r>
      <w:r>
        <w:rPr>
          <w:rFonts w:hint="eastAsia"/>
          <w:b/>
          <w:color w:val="000000"/>
          <w:szCs w:val="28"/>
        </w:rPr>
        <w:t>工程。</w:t>
      </w:r>
      <w:r>
        <w:rPr>
          <w:rFonts w:hint="eastAsia"/>
          <w:color w:val="000000"/>
          <w:szCs w:val="28"/>
        </w:rPr>
        <w:t>以重</w:t>
      </w:r>
      <w:r>
        <w:rPr>
          <w:color w:val="000000"/>
          <w:szCs w:val="28"/>
        </w:rPr>
        <w:t>有色金属矿采选业、重有色金属冶炼业、含铅蓄电池业、皮革及其制品业、化学原料及化学制品制造业5个重金属污染防治重点防控行业，以及钢铁、水泥、平板玻璃、煤化工、多晶硅、电解铝、造船等7个产能过剩主要行业作为实施清洁生产审核的重点</w:t>
      </w:r>
      <w:r>
        <w:rPr>
          <w:rFonts w:hint="eastAsia"/>
          <w:color w:val="000000"/>
          <w:szCs w:val="28"/>
        </w:rPr>
        <w:t>，</w:t>
      </w:r>
      <w:r>
        <w:rPr>
          <w:color w:val="000000"/>
          <w:szCs w:val="28"/>
        </w:rPr>
        <w:t>在行业规模以上企业中全面推行清洁生产审核</w:t>
      </w:r>
      <w:r>
        <w:rPr>
          <w:rFonts w:hint="eastAsia"/>
          <w:color w:val="000000"/>
          <w:szCs w:val="28"/>
        </w:rPr>
        <w:t>。</w:t>
      </w:r>
      <w:r>
        <w:rPr>
          <w:rFonts w:hint="eastAsia" w:cs="仿宋"/>
          <w:szCs w:val="28"/>
        </w:rPr>
        <w:t>提高火电、造纸、建材、有色金属冶炼、铁合金、制糖等行业清洁生产评价指标，</w:t>
      </w:r>
      <w:r>
        <w:rPr>
          <w:rFonts w:hint="eastAsia"/>
          <w:color w:val="000000"/>
          <w:szCs w:val="28"/>
        </w:rPr>
        <w:t>并</w:t>
      </w:r>
      <w:r>
        <w:rPr>
          <w:color w:val="000000"/>
          <w:szCs w:val="28"/>
        </w:rPr>
        <w:t>纳入环境影响评价管理体系，建立起循环经济和清洁生产的日常管理与长效监督机制。</w:t>
      </w:r>
    </w:p>
    <w:p>
      <w:pPr>
        <w:widowControl/>
        <w:ind w:firstLine="560"/>
        <w:jc w:val="left"/>
        <w:rPr>
          <w:color w:val="000000"/>
          <w:szCs w:val="28"/>
        </w:rPr>
      </w:pPr>
      <w:r>
        <w:rPr>
          <w:rFonts w:hint="eastAsia"/>
          <w:b/>
          <w:color w:val="000000"/>
          <w:szCs w:val="28"/>
        </w:rPr>
        <w:t>企业清洁生产推进工程。</w:t>
      </w:r>
      <w:r>
        <w:rPr>
          <w:rFonts w:hint="eastAsia"/>
          <w:color w:val="000000"/>
          <w:szCs w:val="28"/>
        </w:rPr>
        <w:t>积极发挥三金药业等“清洁生产企业”的示范带头作用，</w:t>
      </w:r>
      <w:r>
        <w:rPr>
          <w:color w:val="000000"/>
          <w:szCs w:val="28"/>
        </w:rPr>
        <w:t>培育一批资源利用率高、污染排放少、经济效益好的清洁生产企业。</w:t>
      </w:r>
      <w:r>
        <w:t>鼓励企业改进产品设计、采取无毒无害原材料、使用清洁能源或可再生能源、运用物耗能耗低的生产工艺和设备</w:t>
      </w:r>
      <w:r>
        <w:rPr>
          <w:rFonts w:hint="eastAsia"/>
        </w:rPr>
        <w:t>，</w:t>
      </w:r>
      <w:r>
        <w:t>从源头消减污染物排放</w:t>
      </w:r>
      <w:r>
        <w:rPr>
          <w:rFonts w:hint="eastAsia"/>
        </w:rPr>
        <w:t>；</w:t>
      </w:r>
      <w:r>
        <w:t>鼓励企业调整生产布局、改进生产流程、改善管理、加强监测</w:t>
      </w:r>
      <w:r>
        <w:rPr>
          <w:rFonts w:hint="eastAsia"/>
        </w:rPr>
        <w:t>，</w:t>
      </w:r>
      <w:r>
        <w:t>控制生产过程中污染物产生</w:t>
      </w:r>
      <w:r>
        <w:rPr>
          <w:rFonts w:hint="eastAsia"/>
        </w:rPr>
        <w:t>；</w:t>
      </w:r>
      <w:r>
        <w:t>鼓励企业实施物料、水和能源等资源综合循环使用。</w:t>
      </w:r>
      <w:r>
        <w:rPr>
          <w:rFonts w:hint="eastAsia"/>
          <w:color w:val="000000"/>
          <w:szCs w:val="28"/>
        </w:rPr>
        <w:t>加快提升中小企业清洁生产技术研发应用水平，开展政府购买清洁生产服务试点，构建“互联网+”清洁生产信息化服务平台，组织实施中小企业清洁生产培训计划。</w:t>
      </w:r>
    </w:p>
    <w:p>
      <w:pPr>
        <w:ind w:firstLine="560"/>
      </w:pPr>
      <w:bookmarkStart w:id="326" w:name="_Toc464287244"/>
      <w:r>
        <w:rPr>
          <w:rFonts w:hint="eastAsia"/>
          <w:b/>
        </w:rPr>
        <w:t>清洁生产技术改造工程。</w:t>
      </w:r>
      <w:bookmarkEnd w:id="326"/>
      <w:r>
        <w:rPr>
          <w:rFonts w:hint="eastAsia"/>
        </w:rPr>
        <w:t>支持重点行业企业针对常规污染物实施清洁生产技术改造，引导重点企业制定非常规污染物实施高风险污染物削减行动计划，在造纸、家具、涂料、印刷等重点行业实施挥发性有机物削减计划，推广替代或减量化技术，推进工业领域土壤污染源头防治，降低环境风险。</w:t>
      </w:r>
    </w:p>
    <w:p>
      <w:pPr>
        <w:pStyle w:val="3"/>
      </w:pPr>
      <w:bookmarkStart w:id="327" w:name="_Toc21415"/>
      <w:bookmarkStart w:id="328" w:name="_Toc13779"/>
      <w:bookmarkStart w:id="329" w:name="_Toc4317"/>
      <w:bookmarkStart w:id="330" w:name="_Toc1098"/>
      <w:bookmarkStart w:id="331" w:name="_Toc469592804"/>
      <w:bookmarkStart w:id="332" w:name="_Toc29075"/>
      <w:r>
        <w:rPr>
          <w:rFonts w:hint="eastAsia"/>
        </w:rPr>
        <w:t>第三节 加强资源综合利用</w:t>
      </w:r>
      <w:bookmarkEnd w:id="327"/>
      <w:bookmarkEnd w:id="328"/>
      <w:bookmarkEnd w:id="329"/>
      <w:bookmarkEnd w:id="330"/>
      <w:bookmarkEnd w:id="331"/>
      <w:bookmarkEnd w:id="332"/>
    </w:p>
    <w:p>
      <w:pPr>
        <w:ind w:firstLine="560"/>
        <w:jc w:val="left"/>
        <w:rPr>
          <w:rFonts w:cs="仿宋"/>
          <w:szCs w:val="28"/>
        </w:rPr>
      </w:pPr>
      <w:r>
        <w:rPr>
          <w:b/>
        </w:rPr>
        <w:t>工业固体废弃物</w:t>
      </w:r>
      <w:r>
        <w:rPr>
          <w:rFonts w:hint="eastAsia"/>
          <w:b/>
        </w:rPr>
        <w:t>综合利用工程。</w:t>
      </w:r>
      <w:r>
        <w:rPr>
          <w:rFonts w:hint="eastAsia"/>
        </w:rPr>
        <w:t>围绕尾矿、废石、粉煤灰、冶炼渣、炉渣、化工废渣等工业固体废物等工业固体废物，</w:t>
      </w:r>
      <w:r>
        <w:rPr>
          <w:rFonts w:hint="eastAsia" w:cs="仿宋"/>
          <w:szCs w:val="28"/>
        </w:rPr>
        <w:t>拓展钨矿、锰矿尾矿废渣等大宗工业固体废物的综合利用。推广中药材与罗汉果提取后有机质、水果饮料加工后的果渣、糖厂蔗渣以及大米加工后的谷壳、木材加工后的木屑等有机废物生产生物有机肥或者能源化利用后灰渣的农业利用，引导工业固体废物就地就近规模化处理处置。到2020年，实现桂林市工业固体废物综合利用率达到85%以上。</w:t>
      </w:r>
    </w:p>
    <w:p>
      <w:pPr>
        <w:ind w:firstLine="560"/>
        <w:jc w:val="left"/>
      </w:pPr>
      <w:r>
        <w:rPr>
          <w:b/>
        </w:rPr>
        <w:t>建筑废弃物综合利用</w:t>
      </w:r>
      <w:r>
        <w:rPr>
          <w:rFonts w:hint="eastAsia"/>
          <w:b/>
        </w:rPr>
        <w:t>工程。</w:t>
      </w:r>
      <w:r>
        <w:rPr>
          <w:rFonts w:hint="eastAsia" w:cs="仿宋"/>
          <w:szCs w:val="28"/>
        </w:rPr>
        <w:t>加强建筑垃圾无害化处置研究，开展建筑垃圾建材资源化利用及其示范，推进建筑垃圾的资源化利用。重点推进桂林市兴安县建筑废弃物资源化利用示范建设项目，构建工业生产—废渣—建材的循环产业链。</w:t>
      </w:r>
    </w:p>
    <w:p>
      <w:pPr>
        <w:ind w:firstLine="560"/>
      </w:pPr>
      <w:r>
        <w:rPr>
          <w:b/>
        </w:rPr>
        <w:t>再生资源回收利用</w:t>
      </w:r>
      <w:r>
        <w:rPr>
          <w:rFonts w:hint="eastAsia"/>
          <w:b/>
        </w:rPr>
        <w:t>工程</w:t>
      </w:r>
      <w:r>
        <w:rPr>
          <w:b/>
        </w:rPr>
        <w:t>。</w:t>
      </w:r>
      <w:r>
        <w:t>重点</w:t>
      </w:r>
      <w:r>
        <w:rPr>
          <w:rFonts w:hint="eastAsia"/>
        </w:rPr>
        <w:t>以桂林市电子废弃物及建筑垃圾处理设施项目和荔浦县报废机动车辆回收综合利用项目为抓手</w:t>
      </w:r>
      <w:r>
        <w:t xml:space="preserve">，加快建成一批技术先进、环保达标、管理规范，利用规模化、辐射作用强的城市矿产示范基地，搭建促进资源循环利用的公共服务平台，建设汽车及家电回收处理中心，废金属、废旧橡胶、废旧塑料、废弃电气电子产品、废纸等资源再生利用及城市建筑垃圾处理中心。 </w:t>
      </w:r>
    </w:p>
    <w:p>
      <w:pPr>
        <w:ind w:firstLine="560"/>
      </w:pPr>
      <w:r>
        <w:rPr>
          <w:b/>
        </w:rPr>
        <w:t>餐厨废弃物</w:t>
      </w:r>
      <w:r>
        <w:rPr>
          <w:rFonts w:hint="eastAsia"/>
          <w:b/>
        </w:rPr>
        <w:t>综合</w:t>
      </w:r>
      <w:r>
        <w:rPr>
          <w:b/>
        </w:rPr>
        <w:t>利用</w:t>
      </w:r>
      <w:r>
        <w:rPr>
          <w:rFonts w:hint="eastAsia"/>
          <w:b/>
        </w:rPr>
        <w:t>工程</w:t>
      </w:r>
      <w:r>
        <w:rPr>
          <w:b/>
        </w:rPr>
        <w:t>。</w:t>
      </w:r>
      <w:r>
        <w:rPr>
          <w:rFonts w:hint="eastAsia"/>
        </w:rPr>
        <w:t>加快建设桂林市餐厨垃圾处理厂，</w:t>
      </w:r>
      <w:r>
        <w:t>促进餐厨餐弃物的分类回收</w:t>
      </w:r>
      <w:r>
        <w:rPr>
          <w:rFonts w:hint="eastAsia"/>
        </w:rPr>
        <w:t>和</w:t>
      </w:r>
      <w:r>
        <w:t>安全运输</w:t>
      </w:r>
      <w:r>
        <w:rPr>
          <w:rFonts w:hint="eastAsia"/>
        </w:rPr>
        <w:t>。</w:t>
      </w:r>
      <w:r>
        <w:t>积极探索资源化利用和无害化处理技术、工艺路线和管理模式，推广开发利用餐厨废弃物制造生物柴油、有机肥料及沼气等项目。</w:t>
      </w:r>
      <w:r>
        <w:rPr>
          <w:rFonts w:hint="eastAsia"/>
        </w:rPr>
        <w:t>新建以废弃油脂为原料的工业用精油、生物柴油项目。</w:t>
      </w:r>
    </w:p>
    <w:p>
      <w:pPr>
        <w:ind w:firstLine="560"/>
      </w:pPr>
      <w:r>
        <w:rPr>
          <w:rFonts w:hint="eastAsia"/>
          <w:b/>
        </w:rPr>
        <w:t>生活垃圾资源化利用工程。</w:t>
      </w:r>
      <w:r>
        <w:rPr>
          <w:rFonts w:hint="eastAsia"/>
        </w:rPr>
        <w:t>加快推进桂林市生活垃圾“三化”综合处理工程，在平乐、恭城、荔浦、龙胜、永福、全州等地建立一批垃圾处理中心，进一步完善桂林市</w:t>
      </w:r>
      <w:r>
        <w:t>生活垃圾分类和回收</w:t>
      </w:r>
      <w:r>
        <w:rPr>
          <w:rFonts w:hint="eastAsia"/>
        </w:rPr>
        <w:t>体系。加强垃圾资源化处理，加快推进桂林市城镇生活垃圾资源化无害化循环利用处理工程，以山口生活垃圾焚烧发电工程为重要抓手，</w:t>
      </w:r>
      <w:r>
        <w:t>逐步实施利用生活垃圾焚烧供热发电工程，减少垃圾贮存量。</w:t>
      </w:r>
    </w:p>
    <w:p>
      <w:pPr>
        <w:ind w:firstLine="560"/>
      </w:pPr>
      <w:r>
        <w:rPr>
          <w:b/>
        </w:rPr>
        <w:t>污水处理再生利用</w:t>
      </w:r>
      <w:r>
        <w:rPr>
          <w:rFonts w:hint="eastAsia"/>
          <w:b/>
        </w:rPr>
        <w:t>工程</w:t>
      </w:r>
      <w:r>
        <w:rPr>
          <w:b/>
        </w:rPr>
        <w:t>。</w:t>
      </w:r>
      <w:r>
        <w:t>重点实施污水处理和中水回用管道建设、中水回用工程</w:t>
      </w:r>
      <w:r>
        <w:rPr>
          <w:rFonts w:hint="eastAsia"/>
        </w:rPr>
        <w:t>，积极开展桂林市漓江（城市段）排污综合治理项目，加快桂林市污水处理工程及配套管网建设，推进工业集中区污水处理厂及配套管网项目建设，重点在临桂区、灵川八里街工业园、永福县、兴安县、全州县、灌阳县、阳朔县、恭城县建立一批污水处理厂，提升桂林市及各县区工业集中区污水处理项目</w:t>
      </w:r>
      <w:r>
        <w:t>。</w:t>
      </w:r>
    </w:p>
    <w:p>
      <w:pPr>
        <w:ind w:firstLine="560"/>
      </w:pPr>
      <w:r>
        <w:rPr>
          <w:b/>
        </w:rPr>
        <w:t>农业废弃物综合利用</w:t>
      </w:r>
      <w:r>
        <w:rPr>
          <w:rFonts w:hint="eastAsia"/>
          <w:b/>
        </w:rPr>
        <w:t>工程。</w:t>
      </w:r>
      <w:r>
        <w:t>实施农村节能技改和生物质能利用、秸秆综合利用、大中型沼气利用工程、畜禽粪便综合利用及粪便无害化处理、生猪生态养殖、有机肥生产线等项目。提升农业废弃物综合利用水平，有效解决农业面源污染，实现农业循环经济发展，结合新农村建设实施一批生态农业示范园。</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480"/>
              <w:jc w:val="center"/>
              <w:rPr>
                <w:b/>
                <w:sz w:val="24"/>
                <w:szCs w:val="24"/>
              </w:rPr>
            </w:pPr>
            <w:r>
              <w:rPr>
                <w:rFonts w:hint="eastAsia"/>
                <w:b/>
                <w:sz w:val="24"/>
                <w:szCs w:val="24"/>
              </w:rPr>
              <w:t>专栏6：桂林市</w:t>
            </w:r>
            <w:r>
              <w:rPr>
                <w:b/>
                <w:sz w:val="24"/>
                <w:szCs w:val="24"/>
              </w:rPr>
              <w:t>山口垃圾焚烧发电工程项目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ind w:firstLine="480"/>
              <w:jc w:val="left"/>
              <w:rPr>
                <w:sz w:val="24"/>
                <w:szCs w:val="24"/>
              </w:rPr>
            </w:pPr>
            <w:r>
              <w:rPr>
                <w:sz w:val="24"/>
                <w:szCs w:val="24"/>
              </w:rPr>
              <w:t>山口生活垃圾焚烧发电项目位于临桂区</w:t>
            </w:r>
            <w:r>
              <w:rPr>
                <w:rFonts w:hint="eastAsia"/>
                <w:sz w:val="24"/>
                <w:szCs w:val="24"/>
              </w:rPr>
              <w:t>，</w:t>
            </w:r>
            <w:r>
              <w:rPr>
                <w:sz w:val="24"/>
                <w:szCs w:val="24"/>
              </w:rPr>
              <w:t>占地约147亩，项目总投资8.97亿元，工程建设期24个月</w:t>
            </w:r>
            <w:r>
              <w:rPr>
                <w:rFonts w:hint="eastAsia"/>
                <w:sz w:val="24"/>
                <w:szCs w:val="24"/>
              </w:rPr>
              <w:t>，是桂林</w:t>
            </w:r>
            <w:r>
              <w:rPr>
                <w:sz w:val="24"/>
                <w:szCs w:val="24"/>
              </w:rPr>
              <w:t>市首家垃圾焚烧发电厂。该项目拟采用“垃圾全量焚烧+飞灰固化+剩余物卫生填埋”的工艺，利用焚烧垃圾余热发电。项目建成后，每年预计可处理垃圾54.75万吨、发电1.7亿度，相当于每年节约标准燃煤6.6万吨，减少二氧化碳排放22万吨，将真正实现桂林市区周边城镇垃圾处理“无害化、减量化、资源化”，进一步优化桂林生态环境。</w:t>
            </w:r>
          </w:p>
        </w:tc>
      </w:tr>
    </w:tbl>
    <w:p>
      <w:pPr>
        <w:ind w:firstLine="560"/>
      </w:pPr>
    </w:p>
    <w:p>
      <w:pPr>
        <w:pStyle w:val="3"/>
      </w:pPr>
      <w:bookmarkStart w:id="333" w:name="_Toc253"/>
      <w:bookmarkStart w:id="334" w:name="_Toc469592805"/>
      <w:bookmarkStart w:id="335" w:name="_Toc30226"/>
      <w:bookmarkStart w:id="336" w:name="_Toc22251"/>
      <w:bookmarkStart w:id="337" w:name="_Toc23315"/>
      <w:bookmarkStart w:id="338" w:name="_Toc30084"/>
      <w:r>
        <w:rPr>
          <w:rFonts w:hint="eastAsia"/>
        </w:rPr>
        <w:t>第四节 全面推进节能降耗</w:t>
      </w:r>
      <w:bookmarkEnd w:id="333"/>
      <w:bookmarkEnd w:id="334"/>
      <w:bookmarkEnd w:id="335"/>
      <w:bookmarkEnd w:id="336"/>
      <w:bookmarkEnd w:id="337"/>
      <w:bookmarkEnd w:id="338"/>
    </w:p>
    <w:p>
      <w:pPr>
        <w:widowControl/>
        <w:ind w:firstLine="561" w:firstLineChars="0"/>
        <w:jc w:val="left"/>
      </w:pPr>
      <w:r>
        <w:rPr>
          <w:rFonts w:hint="eastAsia"/>
          <w:b/>
        </w:rPr>
        <w:t>政府机构及公共事业单位节能工程。</w:t>
      </w:r>
      <w:r>
        <w:rPr>
          <w:rFonts w:hint="eastAsia"/>
        </w:rPr>
        <w:t>以桂林市节约型公共机构示范单位、节水型单位创建项目为抓手，积极采用节能设计规范，大力推广太阳能光热利用、高效电光源、照明系统LED改造；采用节能型供热、空调系统，应用变频调速技术对风机、水泵等用能设备进行节能改造；加强节水器具改造和高效喷灌技术改造，铺设透水地面；加强用电管理，节约照明用电，减少办公设备电耗和待机能耗，降低空调用电负荷。建设新能源汽车充电桩，加大新购公务车辆中节能与新能源汽车比例。</w:t>
      </w:r>
    </w:p>
    <w:p>
      <w:pPr>
        <w:widowControl/>
        <w:ind w:firstLine="561" w:firstLineChars="0"/>
        <w:jc w:val="left"/>
      </w:pPr>
      <w:r>
        <w:rPr>
          <w:rFonts w:hint="eastAsia"/>
          <w:b/>
        </w:rPr>
        <w:t>中小企业节能工程。</w:t>
      </w:r>
      <w:r>
        <w:rPr>
          <w:rFonts w:hint="eastAsia"/>
        </w:rPr>
        <w:t>突出抓好钢铁、有色、建材、造纸、印染等重点行业中小企业节能技术改造工作，加快推进有色金属开采及压延等企业综合化技术改造，推动高效节能技术、工艺及产品、设备在中小企业中的广泛运用，推动中小企业加快淘汰落后工艺设备。加快建立面向中小企业的节能服务体系，积极引导节能专业服务机构通过合同能源管理等方式积极参与中小企业节能项目建设。</w:t>
      </w:r>
    </w:p>
    <w:p>
      <w:pPr>
        <w:ind w:firstLine="560"/>
      </w:pPr>
      <w:r>
        <w:rPr>
          <w:rFonts w:hint="eastAsia"/>
          <w:b/>
        </w:rPr>
        <w:t>全面节水推进工程。</w:t>
      </w:r>
      <w:r>
        <w:rPr>
          <w:rFonts w:hint="eastAsia"/>
        </w:rPr>
        <w:t>加快编制《桂林市“十三五”节水型社会建设规划》，推进节水型城市、企业、公共机构节水型单位、节水型小区建设。重点推动建筑节水、雨水利用与中水回用，推进海绵城市建设，对使用年限超过 50 年和材质落后供水管网的更新改造，督促用水大户定期开展水平衡测试，严控“跑冒滴漏”。对造纸、食品发酵及饮料等高耗水行业，开展水平衡测试及水效对标达标，大力推进节水技术改造，</w:t>
      </w:r>
      <w:r>
        <w:t>实施皂素水解清洁生产新工艺、自动缫丝循环水综合利用、双烯下游系列产品开发节水改造、水循环利用技术，实施农业节水工程，加快建立节水型农业，建设县级灌区节水改造项目。</w:t>
      </w:r>
    </w:p>
    <w:p>
      <w:pPr>
        <w:pStyle w:val="3"/>
      </w:pPr>
      <w:bookmarkStart w:id="339" w:name="_Toc22008"/>
      <w:bookmarkStart w:id="340" w:name="_Toc18635"/>
      <w:bookmarkStart w:id="341" w:name="_Toc18889"/>
      <w:bookmarkStart w:id="342" w:name="_Toc469592806"/>
      <w:bookmarkStart w:id="343" w:name="_Toc2353"/>
      <w:bookmarkStart w:id="344" w:name="_Toc2189"/>
      <w:r>
        <w:rPr>
          <w:rFonts w:hint="eastAsia"/>
        </w:rPr>
        <w:t>第</w:t>
      </w:r>
      <w:r>
        <w:t>五</w:t>
      </w:r>
      <w:r>
        <w:rPr>
          <w:rFonts w:hint="eastAsia"/>
        </w:rPr>
        <w:t>节 推进</w:t>
      </w:r>
      <w:r>
        <w:t>示范工程</w:t>
      </w:r>
      <w:r>
        <w:rPr>
          <w:rFonts w:hint="eastAsia"/>
        </w:rPr>
        <w:t>建设</w:t>
      </w:r>
      <w:bookmarkEnd w:id="339"/>
      <w:bookmarkEnd w:id="340"/>
      <w:bookmarkEnd w:id="341"/>
      <w:bookmarkEnd w:id="342"/>
      <w:bookmarkEnd w:id="343"/>
      <w:bookmarkEnd w:id="344"/>
    </w:p>
    <w:p>
      <w:pPr>
        <w:widowControl/>
        <w:ind w:firstLine="420" w:firstLineChars="0"/>
        <w:jc w:val="left"/>
      </w:pPr>
      <w:r>
        <w:rPr>
          <w:color w:val="333333"/>
        </w:rPr>
        <w:t> 循</w:t>
      </w:r>
      <w:r>
        <w:t>环经济示范</w:t>
      </w:r>
      <w:r>
        <w:rPr>
          <w:rFonts w:hint="eastAsia"/>
        </w:rPr>
        <w:t>工程</w:t>
      </w:r>
      <w:r>
        <w:t>是发展循环经济的有效载体。“十</w:t>
      </w:r>
      <w:r>
        <w:rPr>
          <w:rFonts w:hint="eastAsia"/>
        </w:rPr>
        <w:t>三</w:t>
      </w:r>
      <w:r>
        <w:t>五”期间，按照典型示范、分步实施的原则，重点在企业、园区、社会三个层面，突出抓好一批示范工程与重点项目建设，推广循环经济典型模式，形成覆盖全社会的资源循环利用体系。</w:t>
      </w:r>
    </w:p>
    <w:p>
      <w:pPr>
        <w:widowControl/>
        <w:ind w:firstLine="420" w:firstLineChars="0"/>
        <w:jc w:val="left"/>
        <w:rPr>
          <w:b/>
          <w:color w:val="333333"/>
        </w:rPr>
      </w:pPr>
      <w:r>
        <w:rPr>
          <w:rFonts w:hint="eastAsia"/>
          <w:b/>
          <w:color w:val="333333"/>
        </w:rPr>
        <w:t>一、推进试点</w:t>
      </w:r>
      <w:r>
        <w:rPr>
          <w:b/>
          <w:color w:val="333333"/>
        </w:rPr>
        <w:t>示范企业</w:t>
      </w:r>
      <w:r>
        <w:rPr>
          <w:rFonts w:hint="eastAsia"/>
          <w:b/>
          <w:color w:val="333333"/>
        </w:rPr>
        <w:t>建设</w:t>
      </w:r>
    </w:p>
    <w:p>
      <w:pPr>
        <w:widowControl/>
        <w:ind w:firstLine="420" w:firstLineChars="0"/>
        <w:jc w:val="left"/>
      </w:pPr>
      <w:r>
        <w:t>节能示范企业。</w:t>
      </w:r>
      <w:r>
        <w:rPr>
          <w:rFonts w:hint="eastAsia"/>
        </w:rPr>
        <w:t>重点</w:t>
      </w:r>
      <w:r>
        <w:t>以</w:t>
      </w:r>
      <w:r>
        <w:rPr>
          <w:rFonts w:hint="eastAsia"/>
        </w:rPr>
        <w:t>冶炼</w:t>
      </w:r>
      <w:r>
        <w:t>、用能用电大户企业为重点，选择10家单位产品能耗、物耗、水耗、主要污染物排放等主要节能减排指标处于国内同行业先进水平的企业，培育为节能示范企业</w:t>
      </w:r>
      <w:r>
        <w:rPr>
          <w:rFonts w:hint="eastAsia"/>
        </w:rPr>
        <w:t>。</w:t>
      </w:r>
    </w:p>
    <w:p>
      <w:pPr>
        <w:widowControl/>
        <w:ind w:firstLine="420" w:firstLineChars="0"/>
        <w:jc w:val="left"/>
      </w:pPr>
      <w:r>
        <w:t>资源综合利用示范企业。以冶金、建材、电力等行业为重点，培育10家资源回收与综合利用示范企业</w:t>
      </w:r>
      <w:r>
        <w:rPr>
          <w:rFonts w:hint="eastAsia"/>
        </w:rPr>
        <w:t>。</w:t>
      </w:r>
    </w:p>
    <w:p>
      <w:pPr>
        <w:widowControl/>
        <w:ind w:firstLine="420" w:firstLineChars="0"/>
        <w:jc w:val="left"/>
      </w:pPr>
      <w:r>
        <w:t>清洁生产试点示范企业。强化重点企业清洁生产审核，建设一批清洁生产管理水平、环境效益显著提高的示范企业，培育</w:t>
      </w:r>
      <w:r>
        <w:rPr>
          <w:rFonts w:hint="eastAsia"/>
        </w:rPr>
        <w:t>1</w:t>
      </w:r>
      <w:r>
        <w:t>0家</w:t>
      </w:r>
      <w:r>
        <w:rPr>
          <w:rFonts w:hint="eastAsia"/>
        </w:rPr>
        <w:t>自治区</w:t>
      </w:r>
      <w:r>
        <w:t>级清洁生产试点示范企业。</w:t>
      </w:r>
    </w:p>
    <w:p>
      <w:pPr>
        <w:widowControl/>
        <w:ind w:firstLine="420" w:firstLineChars="0"/>
        <w:jc w:val="left"/>
      </w:pPr>
      <w:r>
        <w:t>生态循环农业示范企业。以生态种养、农副产品精深加工产业链延伸、农业废弃物资源化利用为重点，培育10家生态循环农业示范企业</w:t>
      </w:r>
      <w:r>
        <w:rPr>
          <w:rFonts w:hint="eastAsia"/>
        </w:rPr>
        <w:t>。</w:t>
      </w:r>
    </w:p>
    <w:p>
      <w:pPr>
        <w:widowControl/>
        <w:ind w:firstLine="420" w:firstLineChars="0"/>
        <w:jc w:val="left"/>
        <w:rPr>
          <w:b/>
          <w:color w:val="333333"/>
        </w:rPr>
      </w:pPr>
      <w:r>
        <w:rPr>
          <w:rFonts w:hint="eastAsia"/>
          <w:b/>
          <w:color w:val="333333"/>
        </w:rPr>
        <w:t>二、推进试点</w:t>
      </w:r>
      <w:r>
        <w:rPr>
          <w:b/>
          <w:color w:val="333333"/>
        </w:rPr>
        <w:t>示范园区</w:t>
      </w:r>
      <w:r>
        <w:rPr>
          <w:rFonts w:hint="eastAsia"/>
          <w:b/>
          <w:color w:val="333333"/>
        </w:rPr>
        <w:t>建设</w:t>
      </w:r>
    </w:p>
    <w:p>
      <w:pPr>
        <w:widowControl/>
        <w:ind w:firstLine="420" w:firstLineChars="0"/>
        <w:jc w:val="left"/>
      </w:pPr>
      <w:r>
        <w:t>循环经济工业园区。</w:t>
      </w:r>
      <w:r>
        <w:rPr>
          <w:rFonts w:hint="eastAsia"/>
        </w:rPr>
        <w:t>从产业连接循环化、资源利用高效化、污染治理集中化、基础设施绿色化、清洁生产普及化等方面加快实施园区循环化改造，以雁山低碳经济产业园为重点，创建5个自治区级清洁生产示范园。</w:t>
      </w:r>
    </w:p>
    <w:p>
      <w:pPr>
        <w:widowControl/>
        <w:ind w:firstLine="420" w:firstLineChars="0"/>
        <w:jc w:val="left"/>
      </w:pPr>
      <w:r>
        <w:t>循环型生态农业园区。以现代农业园区、生态观光旅游产业为重点，</w:t>
      </w:r>
      <w:r>
        <w:rPr>
          <w:rFonts w:hint="eastAsia"/>
        </w:rPr>
        <w:t>把全州县10万亩“稻-灯-鱼-菇”高效循环农业基地、恭城县循环农业示范基地、龙胜县生态农业示范区、平乐县现代农业（核心）示范区打造成为循环农业示范园区。</w:t>
      </w:r>
    </w:p>
    <w:p>
      <w:pPr>
        <w:widowControl/>
        <w:ind w:firstLine="420" w:firstLineChars="0"/>
        <w:jc w:val="left"/>
        <w:rPr>
          <w:b/>
          <w:color w:val="333333"/>
        </w:rPr>
      </w:pPr>
      <w:r>
        <w:rPr>
          <w:rFonts w:hint="eastAsia"/>
          <w:b/>
          <w:color w:val="333333"/>
        </w:rPr>
        <w:t>三、推进试点</w:t>
      </w:r>
      <w:r>
        <w:rPr>
          <w:b/>
          <w:color w:val="333333"/>
        </w:rPr>
        <w:t>示范城乡</w:t>
      </w:r>
      <w:r>
        <w:rPr>
          <w:rFonts w:hint="eastAsia"/>
          <w:b/>
          <w:color w:val="333333"/>
        </w:rPr>
        <w:t>建设</w:t>
      </w:r>
    </w:p>
    <w:p>
      <w:pPr>
        <w:widowControl/>
        <w:ind w:firstLine="420" w:firstLineChars="0"/>
        <w:jc w:val="left"/>
      </w:pPr>
      <w:r>
        <w:t>示范县。</w:t>
      </w:r>
      <w:r>
        <w:rPr>
          <w:rFonts w:hint="eastAsia"/>
        </w:rPr>
        <w:t>按照特色小镇建设部署，</w:t>
      </w:r>
      <w:r>
        <w:t>在现有循环经济试点市县基础上，总结经验、完善试点、规范发展，选择</w:t>
      </w:r>
      <w:r>
        <w:rPr>
          <w:rFonts w:hint="eastAsia"/>
        </w:rPr>
        <w:t>恭城、灌阳、阳朔三县</w:t>
      </w:r>
      <w:r>
        <w:t>作为循环经济示范</w:t>
      </w:r>
      <w:r>
        <w:rPr>
          <w:rFonts w:hint="eastAsia"/>
        </w:rPr>
        <w:t>县</w:t>
      </w:r>
      <w:r>
        <w:t>。</w:t>
      </w:r>
    </w:p>
    <w:p>
      <w:pPr>
        <w:widowControl/>
        <w:ind w:firstLine="420" w:firstLineChars="0"/>
        <w:jc w:val="left"/>
      </w:pPr>
      <w:r>
        <w:rPr>
          <w:rFonts w:hint="eastAsia"/>
        </w:rPr>
        <w:t>示范</w:t>
      </w:r>
      <w:r>
        <w:t>社区。以绿色建筑、绿色环境、绿色管理和绿色消费行为为重要内容，选择</w:t>
      </w:r>
      <w:r>
        <w:rPr>
          <w:rFonts w:hint="eastAsia"/>
        </w:rPr>
        <w:t>5个左右的</w:t>
      </w:r>
      <w:r>
        <w:t>循环型住宅小区、社区培育为循环经济示范社区。</w:t>
      </w:r>
    </w:p>
    <w:p>
      <w:pPr>
        <w:widowControl/>
        <w:ind w:firstLine="420" w:firstLineChars="0"/>
        <w:jc w:val="left"/>
        <w:sectPr>
          <w:pgSz w:w="11906" w:h="16838"/>
          <w:pgMar w:top="1440" w:right="1800" w:bottom="1440" w:left="1800" w:header="851" w:footer="992" w:gutter="0"/>
          <w:cols w:space="425" w:num="1"/>
          <w:docGrid w:type="lines" w:linePitch="326" w:charSpace="0"/>
        </w:sectPr>
      </w:pPr>
      <w:r>
        <w:rPr>
          <w:rFonts w:hint="eastAsia"/>
        </w:rPr>
        <w:t>示范乡</w:t>
      </w:r>
      <w:r>
        <w:t>镇</w:t>
      </w:r>
      <w:r>
        <w:rPr>
          <w:rFonts w:hint="eastAsia"/>
        </w:rPr>
        <w:t>。</w:t>
      </w:r>
      <w:r>
        <w:t>依托美丽乡村建设</w:t>
      </w:r>
      <w:r>
        <w:rPr>
          <w:rFonts w:hint="eastAsia"/>
        </w:rPr>
        <w:t>，</w:t>
      </w:r>
      <w:r>
        <w:t>选择</w:t>
      </w:r>
      <w:r>
        <w:rPr>
          <w:rFonts w:hint="eastAsia"/>
        </w:rPr>
        <w:t>10个左右的</w:t>
      </w:r>
      <w:r>
        <w:t>循环型、生态化</w:t>
      </w:r>
      <w:r>
        <w:rPr>
          <w:rFonts w:hint="eastAsia"/>
        </w:rPr>
        <w:t>乡</w:t>
      </w:r>
      <w:r>
        <w:t>镇培育为循环经济示范村镇，打造一批资源综合利用水平较高、生态环境质量优良、生态文化繁荣的循环经济示范乡村</w:t>
      </w:r>
      <w:r>
        <w:rPr>
          <w:rFonts w:hint="eastAsia"/>
        </w:rPr>
        <w:t>。</w:t>
      </w:r>
    </w:p>
    <w:p>
      <w:pPr>
        <w:pStyle w:val="2"/>
      </w:pPr>
      <w:bookmarkStart w:id="345" w:name="_Toc15108"/>
      <w:bookmarkStart w:id="346" w:name="_Toc469592807"/>
      <w:bookmarkStart w:id="347" w:name="_Toc465942601"/>
      <w:r>
        <w:rPr>
          <w:rFonts w:hint="eastAsia"/>
        </w:rPr>
        <w:t>第六章 环境影响评价</w:t>
      </w:r>
      <w:bookmarkEnd w:id="345"/>
      <w:bookmarkEnd w:id="346"/>
      <w:bookmarkEnd w:id="347"/>
    </w:p>
    <w:p>
      <w:pPr>
        <w:pStyle w:val="3"/>
        <w:numPr>
          <w:ilvl w:val="0"/>
          <w:numId w:val="1"/>
        </w:numPr>
      </w:pPr>
      <w:bookmarkStart w:id="348" w:name="_Toc465942603"/>
      <w:bookmarkStart w:id="349" w:name="_Toc22324"/>
      <w:bookmarkStart w:id="350" w:name="_Toc469592808"/>
      <w:r>
        <w:rPr>
          <w:rFonts w:hint="eastAsia"/>
        </w:rPr>
        <w:t>循环经济体系对环境的影响</w:t>
      </w:r>
      <w:bookmarkEnd w:id="348"/>
      <w:bookmarkEnd w:id="349"/>
      <w:bookmarkEnd w:id="350"/>
    </w:p>
    <w:p>
      <w:pPr>
        <w:ind w:firstLine="560"/>
      </w:pPr>
      <w:r>
        <w:rPr>
          <w:rFonts w:hint="eastAsia"/>
        </w:rPr>
        <w:t>本规划围绕推动产业转型升级，促进低碳循环发展，着力构建农业、工业、服务业循环经济体系，提出推进循环型农业发展、循环型工业发展、循环型服务业发展的对策措施。总体上，上述措施对资源节约高效利用、生态环境保护、人居环境改善等方面具有积极作用。</w:t>
      </w:r>
    </w:p>
    <w:p>
      <w:pPr>
        <w:pStyle w:val="86"/>
        <w:numPr>
          <w:ilvl w:val="0"/>
          <w:numId w:val="2"/>
        </w:numPr>
        <w:ind w:firstLineChars="0"/>
        <w:rPr>
          <w:b/>
        </w:rPr>
      </w:pPr>
      <w:r>
        <w:rPr>
          <w:rFonts w:hint="eastAsia"/>
          <w:b/>
        </w:rPr>
        <w:t>循环经济指标</w:t>
      </w:r>
    </w:p>
    <w:p>
      <w:pPr>
        <w:ind w:firstLine="560"/>
      </w:pPr>
      <w:r>
        <w:rPr>
          <w:rFonts w:hint="eastAsia"/>
        </w:rPr>
        <w:t>本规划将园区循环化改造、产业低碳循环发展、循环高效利用资源等作为“十三五”的重点任务之一，提出到2020年，工业固体废弃物综合利用率达94.5%，工业用水重复利用率达92%，工业固体废弃物综合利用率达94.5%，城市生活垃圾无害化处理率100%。坚持“减量化、再利用、资源化”三大原则，上述指标为改善桂林市全社会生态环境、循环经济发展提出了明确导向，为监督、考核提供了量化数据，对产业转型升级、淘汰落后产能、资源循环高效利用、生态人居环境建设等提出了更高要求，同时对不利于循环经济发展的现象进行约束。</w:t>
      </w:r>
    </w:p>
    <w:p>
      <w:pPr>
        <w:pStyle w:val="86"/>
        <w:numPr>
          <w:ilvl w:val="0"/>
          <w:numId w:val="2"/>
        </w:numPr>
        <w:ind w:firstLineChars="0"/>
        <w:rPr>
          <w:b/>
        </w:rPr>
      </w:pPr>
      <w:r>
        <w:rPr>
          <w:rFonts w:hint="eastAsia"/>
          <w:b/>
        </w:rPr>
        <w:t>循环农业</w:t>
      </w:r>
    </w:p>
    <w:p>
      <w:pPr>
        <w:ind w:firstLine="618" w:firstLineChars="221"/>
      </w:pPr>
      <w:r>
        <w:rPr>
          <w:rFonts w:hint="eastAsia"/>
        </w:rPr>
        <w:t>循环农业中提出按照农业发展的产业布局，以粮油、果蔬、畜禽、水产品、中药材、竹木等为主的特色农产品生产和加工业为重点，以农业资源利用减量化为主要手段，辅之以废物处理资源化、生产过程清洁化和产业链接循环化，培育和构建符合桂林市实际的农业循环经济模式，建设复合高效的农业循环经济示范基地，实现农业生态系统的自我循环和自我调节。</w:t>
      </w:r>
    </w:p>
    <w:p>
      <w:pPr>
        <w:pStyle w:val="86"/>
        <w:numPr>
          <w:ilvl w:val="0"/>
          <w:numId w:val="2"/>
        </w:numPr>
        <w:ind w:firstLineChars="0"/>
        <w:rPr>
          <w:b/>
        </w:rPr>
      </w:pPr>
      <w:r>
        <w:rPr>
          <w:rFonts w:hint="eastAsia"/>
          <w:b/>
        </w:rPr>
        <w:t>循环工业</w:t>
      </w:r>
    </w:p>
    <w:p>
      <w:pPr>
        <w:ind w:firstLine="560"/>
      </w:pPr>
      <w:r>
        <w:rPr>
          <w:rFonts w:hint="eastAsia"/>
        </w:rPr>
        <w:t>循环工业中提出坚决淘汰落后产能，有序退出过剩产能，逐步淘汰“两高一资”项目，提升优势产业主导地位，优化改造传统产业，从原料投入和能源使用实现源头“减量化”。积极推进信息化与工业化深度融合，发展科技含量高、能源资源消耗低、污染排放少的新兴产业，推动工业经济生态化改造，向高端、绿色、低碳方向迈进。</w:t>
      </w:r>
    </w:p>
    <w:p>
      <w:pPr>
        <w:ind w:firstLine="560"/>
        <w:rPr>
          <w:b/>
        </w:rPr>
      </w:pPr>
      <w:r>
        <w:rPr>
          <w:rFonts w:hint="eastAsia"/>
          <w:b/>
        </w:rPr>
        <w:t>四、循环服务业</w:t>
      </w:r>
    </w:p>
    <w:p>
      <w:pPr>
        <w:ind w:firstLine="560"/>
        <w:rPr>
          <w:sz w:val="30"/>
          <w:szCs w:val="30"/>
        </w:rPr>
      </w:pPr>
      <w:r>
        <w:rPr>
          <w:rFonts w:hint="eastAsia"/>
        </w:rPr>
        <w:t>循环型服务业提出要建立低碳、循环、高效的绿色消费体系，推进餐饮住宿行业绿色化，加大餐饮住宿业节能节水改造力度，分类排放生活垃圾，分类存放餐厨废弃物。上述对策措施将极大地促进桂林市经济社会迈向绿色、低碳、循环的发展道路，形成资源节约、利用高效、循环使用、生态环保的产业结构、生产方式和生活方式，提升生态环境和人居环境，有助于桂林市建设循环型社会，更好地建设国际旅游胜地</w:t>
      </w:r>
      <w:r>
        <w:rPr>
          <w:rFonts w:hint="eastAsia"/>
          <w:sz w:val="30"/>
          <w:szCs w:val="30"/>
        </w:rPr>
        <w:t>。</w:t>
      </w:r>
    </w:p>
    <w:p>
      <w:pPr>
        <w:pStyle w:val="3"/>
      </w:pPr>
      <w:bookmarkStart w:id="351" w:name="_Toc2774"/>
      <w:bookmarkStart w:id="352" w:name="_Toc469592809"/>
      <w:bookmarkStart w:id="353" w:name="_Toc465942604"/>
      <w:r>
        <w:rPr>
          <w:rFonts w:hint="eastAsia"/>
        </w:rPr>
        <w:t>第二节 重点建设项目对环境的影响</w:t>
      </w:r>
      <w:bookmarkEnd w:id="351"/>
      <w:bookmarkEnd w:id="352"/>
      <w:bookmarkEnd w:id="353"/>
    </w:p>
    <w:p>
      <w:pPr>
        <w:ind w:firstLine="560"/>
      </w:pPr>
      <w:r>
        <w:rPr>
          <w:rFonts w:hint="eastAsia"/>
        </w:rPr>
        <w:t>本规划提出“城市矿产”资源循环利用、生活垃圾循环利用、节能技术改造、园区循环化改造等一批重点项目。重点建设项目作为循环经济发展的落脚点，从更加微观的角度，为全社会循环发展指明具体路径。重点建设项目的提出，有助于与园区进行循环化改造，引导企业改善、提升节能技术，促进企业实施清洁生产，提高生产废弃物的回收再利用水平，从源头上减少污染物的产生。同时，推进一批“城市矿产”资源循环利用、生活垃圾循环利用项目，有助于生态环境改善。</w:t>
      </w:r>
    </w:p>
    <w:p>
      <w:pPr>
        <w:ind w:firstLine="560"/>
      </w:pPr>
      <w:r>
        <w:rPr>
          <w:rFonts w:hint="eastAsia"/>
        </w:rPr>
        <w:t>但垃圾焚烧、生物质发电、废旧拆解及污水处理等项目会产生废气、废油液、废水、固体废弃物，这些废弃物重金属含量高、有害物质含量多、成分复杂，处理不当将会对环境造成严重影响。因此，在项目的推进过程必须采取防控措施，从源头上防控，把环境影响降到最低水平。</w:t>
      </w:r>
    </w:p>
    <w:p>
      <w:pPr>
        <w:pStyle w:val="3"/>
      </w:pPr>
      <w:bookmarkStart w:id="354" w:name="_Toc22731"/>
      <w:bookmarkStart w:id="355" w:name="_Toc469592810"/>
      <w:r>
        <w:rPr>
          <w:rFonts w:hint="eastAsia"/>
        </w:rPr>
        <w:t>第三节 环境影响防控措施</w:t>
      </w:r>
      <w:bookmarkEnd w:id="354"/>
      <w:bookmarkEnd w:id="355"/>
    </w:p>
    <w:p>
      <w:pPr>
        <w:ind w:firstLine="600"/>
        <w:rPr>
          <w:b/>
          <w:sz w:val="30"/>
          <w:szCs w:val="30"/>
        </w:rPr>
      </w:pPr>
      <w:r>
        <w:rPr>
          <w:rFonts w:hint="eastAsia"/>
          <w:b/>
          <w:sz w:val="30"/>
          <w:szCs w:val="30"/>
        </w:rPr>
        <w:t>一、科学规划，统筹管理</w:t>
      </w:r>
    </w:p>
    <w:p>
      <w:pPr>
        <w:ind w:firstLine="560"/>
      </w:pPr>
      <w:r>
        <w:rPr>
          <w:rFonts w:hint="eastAsia"/>
        </w:rPr>
        <w:t>资源循环利用重点项目严格执行城市土地利用总体规划。对可能排放有毒污染气体的项目严禁布局在城市或大型居民区上风向。对可能严重污染地表水、地下水的项目严禁布局在大型河流、水道周边。大型污染物收集、处置、拆解等设施项目严格禁止布局在重点旅游景区、重点观光道路及大型居民区周边。严格执行基本建设程序，全面落实环保三同时制度，重大环境影响项目实施环保一票否决机制。</w:t>
      </w:r>
    </w:p>
    <w:p>
      <w:pPr>
        <w:ind w:firstLine="600"/>
        <w:rPr>
          <w:b/>
          <w:sz w:val="30"/>
          <w:szCs w:val="30"/>
        </w:rPr>
      </w:pPr>
      <w:r>
        <w:rPr>
          <w:rFonts w:hint="eastAsia"/>
          <w:b/>
          <w:sz w:val="30"/>
          <w:szCs w:val="30"/>
        </w:rPr>
        <w:t>二、高标建设，源头治理</w:t>
      </w:r>
    </w:p>
    <w:p>
      <w:pPr>
        <w:ind w:firstLine="560"/>
      </w:pPr>
      <w:r>
        <w:rPr>
          <w:rFonts w:hint="eastAsia"/>
        </w:rPr>
        <w:t>对可能产生严重环境污染的资源循环利用重点项目严格实施高标准建设，采取国际国内领先的工艺、技术，实施规范化管理，切实做好环保治理措施的事前监督审查机制，严格做好环保验收，对环境污染防控措施落实不到位的项目不予以竣工验收，严禁投产使用。</w:t>
      </w:r>
    </w:p>
    <w:p>
      <w:pPr>
        <w:ind w:firstLine="600"/>
        <w:rPr>
          <w:b/>
          <w:sz w:val="30"/>
          <w:szCs w:val="30"/>
        </w:rPr>
      </w:pPr>
      <w:r>
        <w:rPr>
          <w:rFonts w:hint="eastAsia"/>
          <w:b/>
          <w:sz w:val="30"/>
          <w:szCs w:val="30"/>
        </w:rPr>
        <w:t>三、定点监测、动态管理</w:t>
      </w:r>
    </w:p>
    <w:p>
      <w:pPr>
        <w:ind w:firstLine="560"/>
      </w:pPr>
      <w:r>
        <w:rPr>
          <w:rFonts w:hint="eastAsia"/>
        </w:rPr>
        <w:t>对重点污染源、环境污染点实施定点监测，采取信息化环境监管手段，实时掌握环境污染物排放信息，实施动态管理，对超标排放企业加大惩处力度。有效利用公众监督机制，及时处理群众反馈信息，实施信息披露制度，形成收集、检查、处置、反馈的良性监督机制。</w:t>
      </w:r>
    </w:p>
    <w:p>
      <w:pPr>
        <w:pStyle w:val="2"/>
        <w:pageBreakBefore/>
      </w:pPr>
      <w:bookmarkStart w:id="356" w:name="_Toc454737441"/>
      <w:bookmarkStart w:id="357" w:name="_Toc465942605"/>
      <w:bookmarkStart w:id="358" w:name="_Toc469592811"/>
      <w:bookmarkStart w:id="359" w:name="_Toc461547660"/>
      <w:bookmarkStart w:id="360" w:name="_Toc28684"/>
      <w:r>
        <w:rPr>
          <w:rFonts w:hint="eastAsia"/>
        </w:rPr>
        <w:t>第七章 保障措施</w:t>
      </w:r>
      <w:bookmarkEnd w:id="356"/>
      <w:bookmarkEnd w:id="357"/>
      <w:bookmarkEnd w:id="358"/>
      <w:bookmarkEnd w:id="359"/>
      <w:bookmarkEnd w:id="360"/>
    </w:p>
    <w:p>
      <w:pPr>
        <w:pStyle w:val="3"/>
      </w:pPr>
      <w:bookmarkStart w:id="361" w:name="_Toc13277"/>
      <w:bookmarkStart w:id="362" w:name="_Toc469592812"/>
      <w:r>
        <w:rPr>
          <w:rFonts w:hint="eastAsia"/>
        </w:rPr>
        <w:t>第一节 加强组织领导</w:t>
      </w:r>
      <w:bookmarkEnd w:id="361"/>
      <w:bookmarkEnd w:id="362"/>
    </w:p>
    <w:p>
      <w:pPr>
        <w:ind w:firstLine="560"/>
        <w:rPr>
          <w:bCs/>
        </w:rPr>
      </w:pPr>
      <w:r>
        <w:rPr>
          <w:rFonts w:hint="eastAsia"/>
          <w:bCs/>
        </w:rPr>
        <w:t>建立健全分工合理、责任明确的循环经济联席会议制度，及时协调解决循环经济发展中遇到的重大问题。成立桂林市循环经济发展领导小组，市政府相关部门按职责负责组织推进循环经济建设的各项工作。市级以上各相关产业园区、企业也要制定相应的工作机制，明确任务分工，根据《桂林市循环经济发展“十三五”规划》编制本园区和企业的循环经济实施方案和年度推进计划，做到层层有责任，逐级抓落实，扎扎实实推进循环经济基地的建设发展。</w:t>
      </w:r>
    </w:p>
    <w:p>
      <w:pPr>
        <w:pStyle w:val="3"/>
      </w:pPr>
      <w:bookmarkStart w:id="363" w:name="_Toc469592855"/>
      <w:bookmarkStart w:id="364" w:name="_Toc469592813"/>
      <w:bookmarkStart w:id="365" w:name="_Toc25822"/>
      <w:bookmarkStart w:id="366" w:name="_Toc469826548"/>
      <w:r>
        <w:rPr>
          <w:rFonts w:hint="eastAsia"/>
        </w:rPr>
        <w:t>第二节 加大政策支持</w:t>
      </w:r>
      <w:bookmarkEnd w:id="363"/>
      <w:bookmarkEnd w:id="364"/>
      <w:bookmarkEnd w:id="365"/>
      <w:bookmarkEnd w:id="366"/>
    </w:p>
    <w:p>
      <w:pPr>
        <w:ind w:firstLine="560"/>
      </w:pPr>
      <w:r>
        <w:rPr>
          <w:rFonts w:hint="eastAsia"/>
          <w:bCs/>
        </w:rPr>
        <w:t xml:space="preserve"> 以《循环经济促进法》《资源综合利用条例》及相关法律为基础，结合桂林市产业特点，加快制定《桂林市循环经济发展条例》，并进一步制定出台市级、市（县）、区级关于垃圾分类处置、餐厨废弃物收运处置、再生资源回收处理等与循环经济发展密切相关的配套政策、规章制度和管理办法，逐步建立完善发展循环经济的政策法规体系。各部门制定相关行业、产业发展规划时须包含循环经济专章内容，推动各行业从规划源头重视循环经济的发展。</w:t>
      </w:r>
      <w:r>
        <w:rPr>
          <w:rFonts w:hint="eastAsia"/>
        </w:rPr>
        <w:t>积极调整财政扶持方向，建立桂林市循环经济发展基金，对发展循环经济的科技研究项目、新技术和新工艺的试制给予资金支持，对一些循环经济重大项目进行直接投资或资金补助、贷款贴息，引导各类金融机构对有利于促进循环经济发展的重点项目给予贷款支持。</w:t>
      </w:r>
    </w:p>
    <w:p>
      <w:pPr>
        <w:pStyle w:val="3"/>
      </w:pPr>
      <w:bookmarkStart w:id="367" w:name="_Toc469826549"/>
      <w:bookmarkStart w:id="368" w:name="_Toc20723"/>
      <w:r>
        <w:rPr>
          <w:rFonts w:hint="eastAsia"/>
        </w:rPr>
        <w:t>第三节 完善体制机制</w:t>
      </w:r>
      <w:bookmarkEnd w:id="367"/>
      <w:bookmarkEnd w:id="368"/>
    </w:p>
    <w:p>
      <w:pPr>
        <w:ind w:firstLine="560"/>
      </w:pPr>
      <w:r>
        <w:rPr>
          <w:rFonts w:hint="eastAsia"/>
        </w:rPr>
        <w:t>探索完善阶梯水价、差别电价、排污收费、垃圾收费及可再生能源价格等价格政策，逐步建立能够反映桂林市资源性产品供求关系的价格机制。积极探索建立建筑废弃物、餐厨废弃物、废旧电子电器产品、废旧纺织品、报废汽车等垃圾回收利用制度。简化循环经济项目的审批程序，积极推广“一表制申报、一站式服务、一窗式办理、一条龙审批”的模式，积极推进链条式审批、基地式审批和园区式审批。建立健全桂林市自然资源资产产权制度体系，完善循环经济的基础统计和核算工作，建立基础数据库和市级信息共享平台。完善考核评价制度，合理确定各区县、各重点企业、各政府部门“十三五”期间循环经济目标，建立并完善相应奖惩考核体系，把循环经济评价主要指标纳入综合评价体系和领导干部政绩考核体系。建立桂林市循环经济公报制度，严格落实项目环境准入、排污总量控制、信息公开和公众参与，每年对循环经济规划实施绩效及其措施进行公告。</w:t>
      </w:r>
      <w:bookmarkStart w:id="369" w:name="_Toc465942608"/>
      <w:bookmarkStart w:id="370" w:name="_Toc469592856"/>
      <w:bookmarkStart w:id="371" w:name="_Toc469592814"/>
    </w:p>
    <w:p>
      <w:pPr>
        <w:pStyle w:val="3"/>
      </w:pPr>
      <w:bookmarkStart w:id="372" w:name="_Toc29209"/>
      <w:bookmarkStart w:id="373" w:name="_Toc469826550"/>
      <w:r>
        <w:rPr>
          <w:rFonts w:hint="eastAsia"/>
        </w:rPr>
        <w:t>第四节 加强人才支撑</w:t>
      </w:r>
      <w:bookmarkEnd w:id="372"/>
    </w:p>
    <w:p>
      <w:pPr>
        <w:ind w:firstLine="555" w:firstLineChars="0"/>
      </w:pPr>
      <w:r>
        <w:rPr>
          <w:rFonts w:hint="eastAsia"/>
        </w:rPr>
        <w:t>围绕重点产业发展、重点项目实施、循环经济产业链条，确定人才队伍建设的目标任务，研究制定重大人才政策，设计重大人才工程项目，大力培养开发重点领域专门人才，构建循环经济人才资源支撑体系。一是结合循环经济社会发展重点和产业发展需求，全面实施人才聚集工程，大力引进一批符合桂林特色产业发展需求的海内外高层次人才和创新团队，引进循环经济领域科研人员、学术带头人、技术人员和技术工人。二是加大对专业技术人才、经营管理人才和技能人才的培养力度，建立健全以职业培训中心为主体、职业教育为基础、校企合作为纽带、政府推动和社会支持相结合的高技能人才培养体系。举办循环经济培训班，为企业培训环境管理体系内审员、清洁生产审核员；鼓励企业选送优秀职工到大专院校进行定向培养。三是健全人才激励机制，加大对循环经济项目、人才实施奖励力度，营造良好的人才培养环境，为推动循环经济发展提供强大的人才智力支撑。</w:t>
      </w:r>
    </w:p>
    <w:p>
      <w:pPr>
        <w:pStyle w:val="3"/>
      </w:pPr>
      <w:bookmarkStart w:id="374" w:name="_Toc30312"/>
      <w:r>
        <w:rPr>
          <w:rFonts w:hint="eastAsia"/>
        </w:rPr>
        <w:t xml:space="preserve">第五节 </w:t>
      </w:r>
      <w:bookmarkEnd w:id="369"/>
      <w:r>
        <w:rPr>
          <w:rFonts w:hint="eastAsia"/>
        </w:rPr>
        <w:t>促进科技创新</w:t>
      </w:r>
      <w:bookmarkEnd w:id="370"/>
      <w:bookmarkEnd w:id="371"/>
      <w:bookmarkEnd w:id="373"/>
      <w:bookmarkEnd w:id="374"/>
    </w:p>
    <w:p>
      <w:pPr>
        <w:ind w:firstLine="560"/>
      </w:pPr>
      <w:bookmarkStart w:id="375" w:name="_Toc314394387"/>
      <w:bookmarkStart w:id="376" w:name="_Toc314394911"/>
      <w:bookmarkStart w:id="377" w:name="_Toc313776090"/>
      <w:r>
        <w:rPr>
          <w:rFonts w:hint="eastAsia"/>
        </w:rPr>
        <w:t>加大循环经济发展的科技投入，组织开发和引进有重大推广意义的资源节约和替代技术、能量梯级利用技术、延长产业链技术、“零”排放技术、有毒有害原材料替代技术、可回收利用材料和回收处理技术、绿色再制造技术，积极推广应用节能、节水、低耗、环保型装备，突破制约循环经济发展的技术瓶颈。</w:t>
      </w:r>
      <w:r>
        <w:t>重点</w:t>
      </w:r>
      <w:r>
        <w:rPr>
          <w:rFonts w:hint="eastAsia"/>
          <w:bCs/>
        </w:rPr>
        <w:t>鼓励企业自主创新</w:t>
      </w:r>
      <w:bookmarkEnd w:id="375"/>
      <w:bookmarkEnd w:id="376"/>
      <w:bookmarkEnd w:id="377"/>
      <w:r>
        <w:rPr>
          <w:rFonts w:hint="eastAsia"/>
          <w:bCs/>
        </w:rPr>
        <w:t>，</w:t>
      </w:r>
      <w:r>
        <w:rPr>
          <w:rFonts w:hint="eastAsia"/>
        </w:rPr>
        <w:t>支持企业创建循环经济技术研发中心等平台，鼓励企业与高校、科研单位联合攻关。将循环经济重大科研项目、重点技术项目列入桂林市“十三五”科技发展重点，优先支持循环经济新工艺研究、资源综合利用技术研究及生产性试验。加快构建桂林市循环经济信息服务平台，为企业发展循环经济、节能减排提供项目策划、可行性研究、产品开发、产品检验、应用技术开发、试验研究、科技成果转化与应用、人才培养和技能培训等支持。</w:t>
      </w:r>
    </w:p>
    <w:p>
      <w:pPr>
        <w:pStyle w:val="3"/>
      </w:pPr>
      <w:bookmarkStart w:id="378" w:name="_Toc469592857"/>
      <w:bookmarkStart w:id="379" w:name="_Toc469826551"/>
      <w:bookmarkStart w:id="380" w:name="_Toc10856"/>
      <w:bookmarkStart w:id="381" w:name="_Toc469592815"/>
      <w:r>
        <w:rPr>
          <w:rFonts w:hint="eastAsia"/>
        </w:rPr>
        <w:t>第六节 强化监督管理</w:t>
      </w:r>
      <w:bookmarkEnd w:id="378"/>
      <w:bookmarkEnd w:id="379"/>
      <w:bookmarkEnd w:id="380"/>
      <w:bookmarkEnd w:id="381"/>
    </w:p>
    <w:p>
      <w:pPr>
        <w:ind w:firstLine="560"/>
        <w:rPr>
          <w:rFonts w:eastAsia="黑体"/>
          <w:b/>
          <w:bCs/>
        </w:rPr>
        <w:sectPr>
          <w:pgSz w:w="11906" w:h="16838"/>
          <w:pgMar w:top="1440" w:right="1800" w:bottom="1440" w:left="1800" w:header="851" w:footer="992" w:gutter="0"/>
          <w:cols w:space="425" w:num="1"/>
          <w:docGrid w:type="lines" w:linePitch="326" w:charSpace="0"/>
        </w:sectPr>
      </w:pPr>
      <w:r>
        <w:rPr>
          <w:rFonts w:hint="eastAsia"/>
        </w:rPr>
        <w:t>建立季度上报、半年检查、年度总结的</w:t>
      </w:r>
      <w:r>
        <w:t>循环经济发展</w:t>
      </w:r>
      <w:r>
        <w:rPr>
          <w:rFonts w:hint="eastAsia"/>
        </w:rPr>
        <w:t>动态管理制度，不定期召开</w:t>
      </w:r>
      <w:r>
        <w:t>桂林市</w:t>
      </w:r>
      <w:r>
        <w:rPr>
          <w:rFonts w:hint="eastAsia"/>
        </w:rPr>
        <w:t>发展循环经济工作领导小组会议。桂林市发展循环经济工作领导小组办公室要会同市有关部门，每半年对全市发展循环经济工作进行监督检查，定期召开全市工作会议，总结</w:t>
      </w:r>
      <w:r>
        <w:t>全市</w:t>
      </w:r>
      <w:r>
        <w:rPr>
          <w:rFonts w:hint="eastAsia"/>
        </w:rPr>
        <w:t>循环经济发展情况，</w:t>
      </w:r>
      <w:r>
        <w:t>并</w:t>
      </w:r>
      <w:r>
        <w:rPr>
          <w:rFonts w:hint="eastAsia"/>
        </w:rPr>
        <w:t>部署下阶段工作任务。加大循环经济执法监督检查力度，开展专项执法活动，依法加强对矿产资源集约利用、节能、节水、资源综合利用、再生资源回收利用的监督管理工作，加强落实绿色建筑能耗定额、秸秆禁烧、禁止使用粘土砖等管理规定，落实餐厨废弃物处置管理制度，坚决打击和遏制违反循环经济法规的行为。加强对循环经济主要指标的监测分析和目标考核，探索建立以资源产出率、资源循环利用率为重点的循环经济评价指标体系和评价机制，及时跟进考核问责。定期开展本规划实施的年度监测、中期评估和期末</w:t>
      </w:r>
      <w:r>
        <w:rPr>
          <w:rFonts w:hint="eastAsia"/>
          <w:bCs/>
        </w:rPr>
        <w:t>总结评价。</w:t>
      </w:r>
    </w:p>
    <w:p>
      <w:pPr>
        <w:pStyle w:val="2"/>
        <w:pageBreakBefore/>
        <w:spacing w:before="120" w:after="120"/>
        <w:rPr>
          <w:b w:val="0"/>
        </w:rPr>
      </w:pPr>
      <w:bookmarkStart w:id="382" w:name="_Toc465942610"/>
      <w:bookmarkStart w:id="383" w:name="_Toc31507"/>
      <w:bookmarkStart w:id="384" w:name="_Toc13072"/>
      <w:bookmarkStart w:id="385" w:name="_Toc484"/>
      <w:bookmarkStart w:id="386" w:name="_Toc8972"/>
      <w:bookmarkStart w:id="387" w:name="_Toc469592816"/>
      <w:bookmarkStart w:id="388" w:name="_Toc17881"/>
      <w:r>
        <w:rPr>
          <w:rFonts w:hint="eastAsia"/>
          <w:b w:val="0"/>
        </w:rPr>
        <w:t>附件：桂林市循环经济“十三五”重点项目表</w:t>
      </w:r>
      <w:bookmarkEnd w:id="382"/>
      <w:bookmarkEnd w:id="383"/>
      <w:bookmarkEnd w:id="384"/>
      <w:bookmarkEnd w:id="385"/>
      <w:bookmarkEnd w:id="386"/>
      <w:bookmarkEnd w:id="387"/>
      <w:bookmarkEnd w:id="388"/>
    </w:p>
    <w:p>
      <w:pPr>
        <w:ind w:firstLine="420"/>
        <w:jc w:val="right"/>
        <w:rPr>
          <w:sz w:val="21"/>
          <w:szCs w:val="21"/>
        </w:rPr>
      </w:pPr>
      <w:r>
        <w:rPr>
          <w:rFonts w:hint="eastAsia"/>
          <w:sz w:val="21"/>
          <w:szCs w:val="21"/>
        </w:rPr>
        <w:t>金额单位：万元</w:t>
      </w:r>
    </w:p>
    <w:tbl>
      <w:tblPr>
        <w:tblStyle w:val="38"/>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
      <w:tblGrid>
        <w:gridCol w:w="794"/>
        <w:gridCol w:w="3119"/>
        <w:gridCol w:w="6520"/>
        <w:gridCol w:w="992"/>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blHeader/>
        </w:trPr>
        <w:tc>
          <w:tcPr>
            <w:tcW w:w="794"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序号</w:t>
            </w:r>
          </w:p>
        </w:tc>
        <w:tc>
          <w:tcPr>
            <w:tcW w:w="3119"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项目名称</w:t>
            </w:r>
          </w:p>
        </w:tc>
        <w:tc>
          <w:tcPr>
            <w:tcW w:w="6520"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主要建设内容及规模</w:t>
            </w:r>
          </w:p>
        </w:tc>
        <w:tc>
          <w:tcPr>
            <w:tcW w:w="992"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总投资</w:t>
            </w:r>
          </w:p>
        </w:tc>
        <w:tc>
          <w:tcPr>
            <w:tcW w:w="1560"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建设起止年限</w:t>
            </w:r>
          </w:p>
        </w:tc>
        <w:tc>
          <w:tcPr>
            <w:tcW w:w="1134"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所在区域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300" w:hRule="atLeast"/>
        </w:trPr>
        <w:tc>
          <w:tcPr>
            <w:tcW w:w="794" w:type="dxa"/>
            <w:shd w:val="clear" w:color="auto" w:fill="auto"/>
            <w:vAlign w:val="center"/>
          </w:tcPr>
          <w:p>
            <w:pPr>
              <w:widowControl/>
              <w:spacing w:line="276" w:lineRule="auto"/>
              <w:ind w:firstLine="0" w:firstLineChars="0"/>
              <w:jc w:val="center"/>
              <w:rPr>
                <w:rFonts w:cs="Calibri"/>
                <w:color w:val="000000"/>
                <w:sz w:val="21"/>
                <w:szCs w:val="21"/>
              </w:rPr>
            </w:pPr>
          </w:p>
        </w:tc>
        <w:tc>
          <w:tcPr>
            <w:tcW w:w="3119" w:type="dxa"/>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合计</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214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5995577</w:t>
            </w:r>
          </w:p>
        </w:tc>
        <w:tc>
          <w:tcPr>
            <w:tcW w:w="1560" w:type="dxa"/>
            <w:shd w:val="clear" w:color="auto" w:fill="auto"/>
            <w:vAlign w:val="center"/>
          </w:tcPr>
          <w:p>
            <w:pPr>
              <w:widowControl/>
              <w:spacing w:line="276" w:lineRule="auto"/>
              <w:ind w:firstLine="0" w:firstLineChars="0"/>
              <w:rPr>
                <w:rFonts w:cs="Calibri"/>
                <w:color w:val="000000"/>
                <w:sz w:val="21"/>
                <w:szCs w:val="21"/>
              </w:rPr>
            </w:pPr>
          </w:p>
        </w:tc>
        <w:tc>
          <w:tcPr>
            <w:tcW w:w="1134" w:type="dxa"/>
            <w:shd w:val="clear" w:color="auto" w:fill="auto"/>
            <w:vAlign w:val="center"/>
          </w:tcPr>
          <w:p>
            <w:pPr>
              <w:widowControl/>
              <w:spacing w:line="276" w:lineRule="auto"/>
              <w:ind w:firstLine="0" w:firstLineChars="0"/>
              <w:rPr>
                <w:rFonts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一、能源</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15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2736042</w:t>
            </w:r>
          </w:p>
        </w:tc>
        <w:tc>
          <w:tcPr>
            <w:tcW w:w="1560" w:type="dxa"/>
            <w:shd w:val="clear" w:color="auto" w:fill="auto"/>
            <w:vAlign w:val="center"/>
          </w:tcPr>
          <w:p>
            <w:pPr>
              <w:widowControl/>
              <w:spacing w:line="276" w:lineRule="auto"/>
              <w:ind w:firstLine="0" w:firstLineChars="0"/>
              <w:jc w:val="center"/>
              <w:rPr>
                <w:rFonts w:cs="仿宋"/>
                <w:b/>
                <w:color w:val="000000"/>
                <w:sz w:val="21"/>
                <w:szCs w:val="21"/>
              </w:rPr>
            </w:pPr>
          </w:p>
        </w:tc>
        <w:tc>
          <w:tcPr>
            <w:tcW w:w="1134" w:type="dxa"/>
            <w:shd w:val="clear" w:color="auto" w:fill="auto"/>
            <w:vAlign w:val="center"/>
          </w:tcPr>
          <w:p>
            <w:pPr>
              <w:widowControl/>
              <w:spacing w:line="276" w:lineRule="auto"/>
              <w:ind w:firstLine="0" w:firstLineChars="0"/>
              <w:jc w:val="center"/>
              <w:rPr>
                <w:rFonts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桂林市风电场项目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计划建设约</w:t>
            </w:r>
            <w:r>
              <w:rPr>
                <w:rStyle w:val="104"/>
              </w:rPr>
              <w:t>20</w:t>
            </w:r>
            <w:r>
              <w:rPr>
                <w:rStyle w:val="103"/>
                <w:rFonts w:hint="default" w:ascii="Times New Roman" w:hAnsi="Times New Roman"/>
              </w:rPr>
              <w:t>个风电场，风电场装机容量约</w:t>
            </w:r>
            <w:r>
              <w:rPr>
                <w:rStyle w:val="104"/>
              </w:rPr>
              <w:t>200</w:t>
            </w:r>
            <w:r>
              <w:rPr>
                <w:rStyle w:val="103"/>
                <w:rFonts w:hint="default" w:ascii="Times New Roman" w:hAnsi="Times New Roman"/>
              </w:rPr>
              <w:t>万千瓦（兴安</w:t>
            </w:r>
            <w:r>
              <w:rPr>
                <w:rStyle w:val="104"/>
              </w:rPr>
              <w:t>4</w:t>
            </w:r>
            <w:r>
              <w:rPr>
                <w:rStyle w:val="103"/>
                <w:rFonts w:hint="default" w:ascii="Times New Roman" w:hAnsi="Times New Roman"/>
              </w:rPr>
              <w:t>个，全州</w:t>
            </w:r>
            <w:r>
              <w:rPr>
                <w:rStyle w:val="104"/>
              </w:rPr>
              <w:t>4</w:t>
            </w:r>
            <w:r>
              <w:rPr>
                <w:rStyle w:val="103"/>
                <w:rFonts w:hint="default" w:ascii="Times New Roman" w:hAnsi="Times New Roman"/>
              </w:rPr>
              <w:t>个，灌阳</w:t>
            </w:r>
            <w:r>
              <w:rPr>
                <w:rStyle w:val="104"/>
              </w:rPr>
              <w:t>4</w:t>
            </w:r>
            <w:r>
              <w:rPr>
                <w:rStyle w:val="103"/>
                <w:rFonts w:hint="default" w:ascii="Times New Roman" w:hAnsi="Times New Roman"/>
              </w:rPr>
              <w:t>个，恭城</w:t>
            </w:r>
            <w:r>
              <w:rPr>
                <w:rStyle w:val="104"/>
              </w:rPr>
              <w:t>4</w:t>
            </w:r>
            <w:r>
              <w:rPr>
                <w:rStyle w:val="103"/>
                <w:rFonts w:hint="default" w:ascii="Times New Roman" w:hAnsi="Times New Roman"/>
              </w:rPr>
              <w:t>个，龙胜</w:t>
            </w:r>
            <w:r>
              <w:rPr>
                <w:rStyle w:val="104"/>
              </w:rPr>
              <w:t>3</w:t>
            </w:r>
            <w:r>
              <w:rPr>
                <w:rStyle w:val="103"/>
                <w:rFonts w:hint="default" w:ascii="Times New Roman" w:hAnsi="Times New Roman"/>
              </w:rPr>
              <w:t>个，灵川</w:t>
            </w:r>
            <w:r>
              <w:rPr>
                <w:rStyle w:val="104"/>
              </w:rPr>
              <w:t>1</w:t>
            </w:r>
            <w:r>
              <w:rPr>
                <w:rStyle w:val="103"/>
                <w:rFonts w:hint="default" w:ascii="Times New Roman" w:hAnsi="Times New Roman"/>
              </w:rPr>
              <w:t>个等）。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华能桂林世界旅游城分布式能源项目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4</w:t>
            </w:r>
            <w:r>
              <w:rPr>
                <w:rStyle w:val="103"/>
                <w:rFonts w:hint="default" w:ascii="Times New Roman" w:hAnsi="Times New Roman"/>
              </w:rPr>
              <w:t>台</w:t>
            </w:r>
            <w:r>
              <w:rPr>
                <w:rStyle w:val="104"/>
              </w:rPr>
              <w:t>42</w:t>
            </w:r>
            <w:r>
              <w:rPr>
                <w:rStyle w:val="103"/>
                <w:rFonts w:hint="default" w:ascii="Times New Roman" w:hAnsi="Times New Roman"/>
              </w:rPr>
              <w:t>兆瓦燃机、</w:t>
            </w:r>
            <w:r>
              <w:rPr>
                <w:rStyle w:val="104"/>
              </w:rPr>
              <w:t>4</w:t>
            </w:r>
            <w:r>
              <w:rPr>
                <w:rStyle w:val="103"/>
                <w:rFonts w:hint="default" w:ascii="Times New Roman" w:hAnsi="Times New Roman"/>
              </w:rPr>
              <w:t>台双压余热锅炉、</w:t>
            </w:r>
            <w:r>
              <w:rPr>
                <w:rStyle w:val="104"/>
              </w:rPr>
              <w:t>3</w:t>
            </w:r>
            <w:r>
              <w:rPr>
                <w:rStyle w:val="103"/>
                <w:rFonts w:hint="default" w:ascii="Times New Roman" w:hAnsi="Times New Roman"/>
              </w:rPr>
              <w:t>台</w:t>
            </w:r>
            <w:r>
              <w:rPr>
                <w:rStyle w:val="104"/>
              </w:rPr>
              <w:t>21</w:t>
            </w:r>
            <w:r>
              <w:rPr>
                <w:rStyle w:val="103"/>
                <w:rFonts w:hint="default" w:ascii="Times New Roman" w:hAnsi="Times New Roman"/>
              </w:rPr>
              <w:t>兆瓦抽凝式汽轮机、</w:t>
            </w:r>
            <w:r>
              <w:rPr>
                <w:rStyle w:val="104"/>
              </w:rPr>
              <w:t>1</w:t>
            </w:r>
            <w:r>
              <w:rPr>
                <w:rStyle w:val="103"/>
                <w:rFonts w:hint="default" w:ascii="Times New Roman" w:hAnsi="Times New Roman"/>
              </w:rPr>
              <w:t>台兆瓦背压式汽轮机，最大发电能力</w:t>
            </w:r>
            <w:r>
              <w:rPr>
                <w:rStyle w:val="104"/>
              </w:rPr>
              <w:t>237</w:t>
            </w:r>
            <w:r>
              <w:rPr>
                <w:rStyle w:val="103"/>
                <w:rFonts w:hint="default" w:ascii="Times New Roman" w:hAnsi="Times New Roman"/>
              </w:rPr>
              <w:t>兆瓦，最大供热能力</w:t>
            </w:r>
            <w:r>
              <w:rPr>
                <w:rStyle w:val="104"/>
              </w:rPr>
              <w:t>727.7GJ/h</w:t>
            </w:r>
            <w:r>
              <w:rPr>
                <w:rStyle w:val="103"/>
                <w:rFonts w:hint="default" w:ascii="Times New Roman" w:hAnsi="Times New Roman"/>
              </w:rPr>
              <w:t>，设计年用气量</w:t>
            </w:r>
            <w:r>
              <w:rPr>
                <w:rStyle w:val="104"/>
              </w:rPr>
              <w:t>2.47</w:t>
            </w:r>
            <w:r>
              <w:rPr>
                <w:rStyle w:val="103"/>
                <w:rFonts w:hint="default" w:ascii="Times New Roman" w:hAnsi="Times New Roman"/>
              </w:rPr>
              <w:t>亿</w:t>
            </w:r>
            <w:r>
              <w:rPr>
                <w:rStyle w:val="104"/>
              </w:rPr>
              <w:t>m</w:t>
            </w:r>
            <w:r>
              <w:rPr>
                <w:rStyle w:val="105"/>
              </w:rPr>
              <w:t>3</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121362</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2014-2016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449"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桂林市光伏发电项目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建设太阳能光伏发电，装机容量</w:t>
            </w:r>
            <w:r>
              <w:rPr>
                <w:rStyle w:val="104"/>
              </w:rPr>
              <w:t>20</w:t>
            </w:r>
            <w:r>
              <w:rPr>
                <w:rStyle w:val="103"/>
                <w:rFonts w:hint="default" w:ascii="Times New Roman" w:hAnsi="Times New Roman"/>
              </w:rPr>
              <w:t>万千瓦。</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w:t>
            </w:r>
          </w:p>
        </w:tc>
        <w:tc>
          <w:tcPr>
            <w:tcW w:w="3119" w:type="dxa"/>
            <w:shd w:val="clear" w:color="auto" w:fill="auto"/>
            <w:vAlign w:val="center"/>
          </w:tcPr>
          <w:p>
            <w:pPr>
              <w:widowControl/>
              <w:spacing w:line="276" w:lineRule="auto"/>
              <w:ind w:firstLine="0" w:firstLineChars="0"/>
              <w:jc w:val="center"/>
              <w:textAlignment w:val="center"/>
              <w:rPr>
                <w:color w:val="000000"/>
                <w:sz w:val="21"/>
                <w:szCs w:val="21"/>
              </w:rPr>
            </w:pPr>
            <w:r>
              <w:rPr>
                <w:rStyle w:val="104"/>
              </w:rPr>
              <w:t>3MW</w:t>
            </w:r>
            <w:r>
              <w:rPr>
                <w:rStyle w:val="103"/>
                <w:rFonts w:hint="default" w:ascii="Times New Roman" w:hAnsi="Times New Roman"/>
              </w:rPr>
              <w:t>分布式光伏发电项目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利用</w:t>
            </w:r>
            <w:r>
              <w:rPr>
                <w:rStyle w:val="104"/>
              </w:rPr>
              <w:t>1</w:t>
            </w:r>
            <w:r>
              <w:rPr>
                <w:rStyle w:val="103"/>
                <w:rFonts w:hint="default" w:ascii="Times New Roman" w:hAnsi="Times New Roman"/>
              </w:rPr>
              <w:t>号、</w:t>
            </w:r>
            <w:r>
              <w:rPr>
                <w:rStyle w:val="104"/>
              </w:rPr>
              <w:t>2</w:t>
            </w:r>
            <w:r>
              <w:rPr>
                <w:rStyle w:val="103"/>
                <w:rFonts w:hint="default" w:ascii="Times New Roman" w:hAnsi="Times New Roman"/>
              </w:rPr>
              <w:t>号、</w:t>
            </w:r>
            <w:r>
              <w:rPr>
                <w:rStyle w:val="104"/>
              </w:rPr>
              <w:t>4</w:t>
            </w:r>
            <w:r>
              <w:rPr>
                <w:rStyle w:val="103"/>
                <w:rFonts w:hint="default" w:ascii="Times New Roman" w:hAnsi="Times New Roman"/>
              </w:rPr>
              <w:t>号厂房屋顶</w:t>
            </w:r>
            <w:r>
              <w:rPr>
                <w:rStyle w:val="104"/>
              </w:rPr>
              <w:t>31500m</w:t>
            </w:r>
            <w:r>
              <w:rPr>
                <w:rStyle w:val="105"/>
              </w:rPr>
              <w:t>2</w:t>
            </w:r>
            <w:r>
              <w:rPr>
                <w:rStyle w:val="103"/>
                <w:rFonts w:hint="default" w:ascii="Times New Roman" w:hAnsi="Times New Roman"/>
              </w:rPr>
              <w:t>进行光伏电站建设，同时新建光伏车棚</w:t>
            </w:r>
            <w:r>
              <w:rPr>
                <w:rStyle w:val="104"/>
              </w:rPr>
              <w:t>2300 m</w:t>
            </w:r>
            <w:r>
              <w:rPr>
                <w:rStyle w:val="105"/>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2700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高新七星区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兴安县分布式屋顶光伏并网项目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安装机容量为</w:t>
            </w:r>
            <w:r>
              <w:rPr>
                <w:rStyle w:val="104"/>
              </w:rPr>
              <w:t>205WM</w:t>
            </w:r>
            <w:r>
              <w:rPr>
                <w:rStyle w:val="103"/>
                <w:rFonts w:hint="default" w:ascii="Times New Roman" w:hAnsi="Times New Roman"/>
              </w:rPr>
              <w:t>，平均年发电量为</w:t>
            </w:r>
            <w:r>
              <w:rPr>
                <w:rStyle w:val="104"/>
              </w:rPr>
              <w:t>2440</w:t>
            </w:r>
            <w:r>
              <w:rPr>
                <w:rStyle w:val="103"/>
                <w:rFonts w:hint="default" w:ascii="Times New Roman" w:hAnsi="Times New Roman"/>
              </w:rPr>
              <w:t>万度。</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兴安县地面光伏发电系统</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安装机容量为</w:t>
            </w:r>
            <w:r>
              <w:rPr>
                <w:rStyle w:val="104"/>
              </w:rPr>
              <w:t>25WM</w:t>
            </w:r>
            <w:r>
              <w:rPr>
                <w:rStyle w:val="103"/>
                <w:rFonts w:hint="default" w:ascii="Times New Roman" w:hAnsi="Times New Roman"/>
              </w:rPr>
              <w:t>，平均年发电量为</w:t>
            </w:r>
            <w:r>
              <w:rPr>
                <w:rStyle w:val="104"/>
              </w:rPr>
              <w:t>3050</w:t>
            </w:r>
            <w:r>
              <w:rPr>
                <w:rStyle w:val="103"/>
                <w:rFonts w:hint="default" w:ascii="Times New Roman" w:hAnsi="Times New Roman"/>
              </w:rPr>
              <w:t>万度。</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兴安县</w:t>
            </w:r>
            <w:r>
              <w:rPr>
                <w:rStyle w:val="104"/>
              </w:rPr>
              <w:t>6</w:t>
            </w:r>
            <w:r>
              <w:rPr>
                <w:rStyle w:val="103"/>
                <w:rFonts w:hint="default" w:ascii="Times New Roman" w:hAnsi="Times New Roman"/>
              </w:rPr>
              <w:t>兆瓦太阳能光伏发电一体化</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建设面积</w:t>
            </w:r>
            <w:r>
              <w:rPr>
                <w:rStyle w:val="104"/>
              </w:rPr>
              <w:t>60000 m</w:t>
            </w:r>
            <w:r>
              <w:rPr>
                <w:rStyle w:val="105"/>
              </w:rPr>
              <w:t>2</w:t>
            </w:r>
            <w:r>
              <w:rPr>
                <w:rStyle w:val="103"/>
                <w:rFonts w:hint="default" w:ascii="Times New Roman" w:hAnsi="Times New Roman"/>
              </w:rPr>
              <w:t>太阳能系统，安装机容量</w:t>
            </w:r>
            <w:r>
              <w:rPr>
                <w:rStyle w:val="104"/>
              </w:rPr>
              <w:t>6WM</w:t>
            </w:r>
            <w:r>
              <w:rPr>
                <w:rStyle w:val="103"/>
                <w:rFonts w:hint="default" w:ascii="Times New Roman" w:hAnsi="Times New Roman"/>
              </w:rPr>
              <w:t>屋顶发电，平均每年发电为</w:t>
            </w:r>
            <w:r>
              <w:rPr>
                <w:rStyle w:val="104"/>
              </w:rPr>
              <w:t>738</w:t>
            </w:r>
            <w:r>
              <w:rPr>
                <w:rStyle w:val="103"/>
                <w:rFonts w:hint="default" w:ascii="Times New Roman" w:hAnsi="Times New Roman"/>
              </w:rPr>
              <w:t>万度。</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5400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兴安县建筑废弃物资源化利用示范建设项目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构建工业生产—废渣—建材循环产业链。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全州黄沙河镇光伏发电项目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600-1000</w:t>
            </w:r>
            <w:r>
              <w:rPr>
                <w:rStyle w:val="103"/>
                <w:rFonts w:hint="default" w:ascii="Times New Roman" w:hAnsi="Times New Roman"/>
              </w:rPr>
              <w:t>亩光伏发电。</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阳朔县</w:t>
            </w:r>
            <w:r>
              <w:rPr>
                <w:rStyle w:val="104"/>
              </w:rPr>
              <w:t>2016</w:t>
            </w:r>
            <w:r>
              <w:rPr>
                <w:rStyle w:val="103"/>
                <w:rFonts w:hint="default" w:ascii="Times New Roman" w:hAnsi="Times New Roman"/>
              </w:rPr>
              <w:t>年农村沼气工程中央预算内投资项目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800</w:t>
            </w:r>
            <w:r>
              <w:rPr>
                <w:rStyle w:val="103"/>
                <w:rFonts w:hint="default" w:ascii="Times New Roman" w:hAnsi="Times New Roman"/>
              </w:rPr>
              <w:t>平方米</w:t>
            </w:r>
            <w:r>
              <w:rPr>
                <w:rStyle w:val="104"/>
              </w:rPr>
              <w:t>CSTR</w:t>
            </w:r>
            <w:r>
              <w:rPr>
                <w:rStyle w:val="103"/>
                <w:rFonts w:hint="default" w:ascii="Times New Roman" w:hAnsi="Times New Roman"/>
              </w:rPr>
              <w:t>沼气池，并完善污水处理及综合利用配套设施。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平乐县农村户用沼气池建设项目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农村户用沼气池建设</w:t>
            </w:r>
            <w:r>
              <w:rPr>
                <w:rStyle w:val="104"/>
              </w:rPr>
              <w:t>1800</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810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灵川县大中型沼气项目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全县范围内建设大中型沼气</w:t>
            </w:r>
            <w:r>
              <w:rPr>
                <w:rStyle w:val="104"/>
              </w:rPr>
              <w:t>15</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灵川县新能源太阳能灯项目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全县范围内建设</w:t>
            </w:r>
            <w:r>
              <w:rPr>
                <w:rStyle w:val="104"/>
              </w:rPr>
              <w:t>30</w:t>
            </w:r>
            <w:r>
              <w:rPr>
                <w:rStyle w:val="103"/>
                <w:rFonts w:hint="default" w:ascii="Times New Roman" w:hAnsi="Times New Roman"/>
              </w:rPr>
              <w:t>个村的太阳能灯照明体系。</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荔浦县农村能源建设工程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20</w:t>
            </w:r>
            <w:r>
              <w:rPr>
                <w:rStyle w:val="103"/>
                <w:rFonts w:hint="default" w:ascii="Times New Roman" w:hAnsi="Times New Roman"/>
              </w:rPr>
              <w:t>个大中型沼气池及</w:t>
            </w:r>
            <w:r>
              <w:rPr>
                <w:rStyle w:val="104"/>
              </w:rPr>
              <w:t>1</w:t>
            </w:r>
            <w:r>
              <w:rPr>
                <w:rStyle w:val="103"/>
                <w:rFonts w:hint="default" w:ascii="Times New Roman" w:hAnsi="Times New Roman"/>
              </w:rPr>
              <w:t>个县级服务网点。</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龙胜县农村新能源综合试点示范工程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实施</w:t>
            </w:r>
            <w:r>
              <w:rPr>
                <w:rStyle w:val="104"/>
              </w:rPr>
              <w:t>400</w:t>
            </w:r>
            <w:r>
              <w:rPr>
                <w:rStyle w:val="103"/>
                <w:rFonts w:hint="default" w:ascii="Times New Roman" w:hAnsi="Times New Roman"/>
              </w:rPr>
              <w:t>个村屯，每个村屯安装太阳能路灯</w:t>
            </w:r>
            <w:r>
              <w:rPr>
                <w:rStyle w:val="104"/>
              </w:rPr>
              <w:t>10</w:t>
            </w:r>
            <w:r>
              <w:rPr>
                <w:rStyle w:val="103"/>
                <w:rFonts w:hint="default" w:ascii="Times New Roman" w:hAnsi="Times New Roman"/>
              </w:rPr>
              <w:t>盏</w:t>
            </w:r>
            <w:r>
              <w:rPr>
                <w:rStyle w:val="104"/>
              </w:rPr>
              <w:t>/</w:t>
            </w:r>
            <w:r>
              <w:rPr>
                <w:rStyle w:val="103"/>
                <w:rFonts w:hint="default" w:ascii="Times New Roman" w:hAnsi="Times New Roman"/>
              </w:rPr>
              <w:t>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二、产业</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42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1878506</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（一）工业</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21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1088110</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43"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桂林彤强新型建材有限公司节能环保建材生产线</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项目占地面积</w:t>
            </w:r>
            <w:r>
              <w:rPr>
                <w:rStyle w:val="104"/>
              </w:rPr>
              <w:t>22167m</w:t>
            </w:r>
            <w:r>
              <w:rPr>
                <w:rStyle w:val="105"/>
              </w:rPr>
              <w:t>2</w:t>
            </w:r>
            <w:r>
              <w:rPr>
                <w:rStyle w:val="103"/>
                <w:rFonts w:hint="default" w:ascii="Times New Roman" w:hAnsi="Times New Roman"/>
              </w:rPr>
              <w:t>，原有生产车间、办公楼等</w:t>
            </w:r>
            <w:r>
              <w:rPr>
                <w:rStyle w:val="104"/>
              </w:rPr>
              <w:t>10643m</w:t>
            </w:r>
            <w:r>
              <w:rPr>
                <w:rStyle w:val="105"/>
              </w:rPr>
              <w:t>2</w:t>
            </w:r>
            <w:r>
              <w:rPr>
                <w:rStyle w:val="103"/>
                <w:rFonts w:hint="default" w:ascii="Times New Roman" w:hAnsi="Times New Roman"/>
              </w:rPr>
              <w:t>，新建原料堆放区、成品堆放区，购置球磨机、蒸压釜等设备。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雁山区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桂林</w:t>
            </w:r>
            <w:r>
              <w:rPr>
                <w:rStyle w:val="104"/>
              </w:rPr>
              <w:t>(</w:t>
            </w:r>
            <w:r>
              <w:rPr>
                <w:rStyle w:val="103"/>
                <w:rFonts w:hint="default" w:ascii="Times New Roman" w:hAnsi="Times New Roman"/>
              </w:rPr>
              <w:t>临桂</w:t>
            </w:r>
            <w:r>
              <w:rPr>
                <w:rStyle w:val="104"/>
              </w:rPr>
              <w:t>)</w:t>
            </w:r>
            <w:r>
              <w:rPr>
                <w:rStyle w:val="103"/>
                <w:rFonts w:hint="default" w:ascii="Times New Roman" w:hAnsi="Times New Roman"/>
              </w:rPr>
              <w:t>桂广滑石开发有限公司产</w:t>
            </w:r>
            <w:r>
              <w:rPr>
                <w:rStyle w:val="104"/>
              </w:rPr>
              <w:t>20</w:t>
            </w:r>
            <w:r>
              <w:rPr>
                <w:rStyle w:val="103"/>
                <w:rFonts w:hint="default" w:ascii="Times New Roman" w:hAnsi="Times New Roman"/>
              </w:rPr>
              <w:t>万吨高档滑石粉产品精深加工建设项目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项目总建筑面积</w:t>
            </w:r>
            <w:r>
              <w:rPr>
                <w:rStyle w:val="104"/>
              </w:rPr>
              <w:t>10</w:t>
            </w:r>
            <w:r>
              <w:rPr>
                <w:rStyle w:val="104"/>
                <w:rFonts w:hint="eastAsia"/>
              </w:rPr>
              <w:t>万</w:t>
            </w:r>
            <w:r>
              <w:rPr>
                <w:rStyle w:val="104"/>
              </w:rPr>
              <w:t>m</w:t>
            </w:r>
            <w:r>
              <w:rPr>
                <w:rStyle w:val="105"/>
              </w:rPr>
              <w:t>2</w:t>
            </w:r>
            <w:r>
              <w:rPr>
                <w:rStyle w:val="103"/>
                <w:rFonts w:hint="default" w:ascii="Times New Roman" w:hAnsi="Times New Roman"/>
              </w:rPr>
              <w:t>，主要建设厂房、料库、办公等设施，安装</w:t>
            </w:r>
            <w:r>
              <w:rPr>
                <w:rStyle w:val="104"/>
              </w:rPr>
              <w:t>10</w:t>
            </w:r>
            <w:r>
              <w:rPr>
                <w:rStyle w:val="103"/>
                <w:rFonts w:hint="default" w:ascii="Times New Roman" w:hAnsi="Times New Roman"/>
              </w:rPr>
              <w:t>多条生产线，购置一批配套附属设备。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68"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18</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桂林莱茵生物科技股份有限公司植物资源综合应用产业化工程项目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总建筑面积</w:t>
            </w:r>
            <w:r>
              <w:rPr>
                <w:rStyle w:val="104"/>
              </w:rPr>
              <w:t>10</w:t>
            </w:r>
            <w:r>
              <w:rPr>
                <w:rStyle w:val="103"/>
                <w:rFonts w:hint="default" w:ascii="Times New Roman" w:hAnsi="Times New Roman"/>
              </w:rPr>
              <w:t>万</w:t>
            </w:r>
            <w:r>
              <w:rPr>
                <w:rStyle w:val="104"/>
              </w:rPr>
              <w:t>m</w:t>
            </w:r>
            <w:r>
              <w:rPr>
                <w:rStyle w:val="105"/>
              </w:rPr>
              <w:t>2</w:t>
            </w:r>
            <w:r>
              <w:rPr>
                <w:rStyle w:val="103"/>
                <w:rFonts w:hint="default" w:ascii="Times New Roman" w:hAnsi="Times New Roman"/>
              </w:rPr>
              <w:t>，主要标准化提取物生产车间、精烘包车间、喷雾干燥车间、制药、保健、化妆品车间，新建</w:t>
            </w:r>
            <w:r>
              <w:rPr>
                <w:rStyle w:val="104"/>
              </w:rPr>
              <w:t>24</w:t>
            </w:r>
            <w:r>
              <w:rPr>
                <w:rStyle w:val="103"/>
                <w:rFonts w:hint="default" w:ascii="Times New Roman" w:hAnsi="Times New Roman"/>
              </w:rPr>
              <w:t>条</w:t>
            </w:r>
            <w:r>
              <w:rPr>
                <w:rStyle w:val="104"/>
              </w:rPr>
              <w:t>GMP</w:t>
            </w:r>
            <w:r>
              <w:rPr>
                <w:rStyle w:val="103"/>
                <w:rFonts w:hint="default" w:ascii="Times New Roman" w:hAnsi="Times New Roman"/>
              </w:rPr>
              <w:t>标准的植物提取物生产线，配套数字化生产管理程序系统等。年产</w:t>
            </w:r>
            <w:r>
              <w:rPr>
                <w:rStyle w:val="104"/>
              </w:rPr>
              <w:t>1155</w:t>
            </w:r>
            <w:r>
              <w:rPr>
                <w:rStyle w:val="103"/>
                <w:rFonts w:hint="default" w:ascii="Times New Roman" w:hAnsi="Times New Roman"/>
              </w:rPr>
              <w:t>吨提取物。</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32690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桂林（临桂）北辰新材料科技有限公司年产</w:t>
            </w:r>
            <w:r>
              <w:rPr>
                <w:rStyle w:val="104"/>
              </w:rPr>
              <w:t>5000</w:t>
            </w:r>
            <w:r>
              <w:rPr>
                <w:rStyle w:val="103"/>
                <w:rFonts w:hint="default" w:ascii="Times New Roman" w:hAnsi="Times New Roman"/>
              </w:rPr>
              <w:t>吨高强度高韧性铝合金、钛合金焊接新材料项目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项目总建筑面积</w:t>
            </w:r>
            <w:r>
              <w:rPr>
                <w:rStyle w:val="104"/>
              </w:rPr>
              <w:t>35000m</w:t>
            </w:r>
            <w:r>
              <w:rPr>
                <w:rStyle w:val="105"/>
              </w:rPr>
              <w:t>2</w:t>
            </w:r>
            <w:r>
              <w:rPr>
                <w:rStyle w:val="103"/>
                <w:rFonts w:hint="default" w:ascii="Times New Roman" w:hAnsi="Times New Roman"/>
              </w:rPr>
              <w:t>，主要建设生产车间、原料库房、办公、宿舍等配套设施。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桂林（临桂）懿鹏科技有限公司年产</w:t>
            </w:r>
            <w:r>
              <w:rPr>
                <w:rStyle w:val="104"/>
              </w:rPr>
              <w:t>1.5</w:t>
            </w:r>
            <w:r>
              <w:rPr>
                <w:rStyle w:val="103"/>
                <w:rFonts w:hint="default" w:ascii="Times New Roman" w:hAnsi="Times New Roman"/>
              </w:rPr>
              <w:t>万台超声波全自动</w:t>
            </w:r>
            <w:r>
              <w:rPr>
                <w:rStyle w:val="104"/>
              </w:rPr>
              <w:t>LED</w:t>
            </w:r>
            <w:r>
              <w:rPr>
                <w:rStyle w:val="103"/>
                <w:rFonts w:hint="default" w:ascii="Times New Roman" w:hAnsi="Times New Roman"/>
              </w:rPr>
              <w:t>半导体焊线项目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年产</w:t>
            </w:r>
            <w:r>
              <w:rPr>
                <w:rStyle w:val="104"/>
              </w:rPr>
              <w:t>1.5</w:t>
            </w:r>
            <w:r>
              <w:rPr>
                <w:rStyle w:val="103"/>
                <w:rFonts w:hint="default" w:ascii="Times New Roman" w:hAnsi="Times New Roman"/>
              </w:rPr>
              <w:t>万台超声波全自动</w:t>
            </w:r>
            <w:r>
              <w:rPr>
                <w:rStyle w:val="104"/>
              </w:rPr>
              <w:t>LED</w:t>
            </w:r>
            <w:r>
              <w:rPr>
                <w:rStyle w:val="103"/>
                <w:rFonts w:hint="default" w:ascii="Times New Roman" w:hAnsi="Times New Roman"/>
              </w:rPr>
              <w:t>半导体焊线。项目总建筑面积</w:t>
            </w:r>
            <w:r>
              <w:rPr>
                <w:rStyle w:val="104"/>
              </w:rPr>
              <w:t>2</w:t>
            </w:r>
            <w:r>
              <w:rPr>
                <w:rStyle w:val="104"/>
                <w:rFonts w:hint="eastAsia"/>
              </w:rPr>
              <w:t>.</w:t>
            </w:r>
            <w:r>
              <w:rPr>
                <w:rStyle w:val="104"/>
              </w:rPr>
              <w:t>7</w:t>
            </w:r>
            <w:r>
              <w:rPr>
                <w:rStyle w:val="104"/>
                <w:rFonts w:hint="eastAsia"/>
              </w:rPr>
              <w:t>万</w:t>
            </w:r>
            <w:r>
              <w:rPr>
                <w:rStyle w:val="104"/>
              </w:rPr>
              <w:t>m</w:t>
            </w:r>
            <w:r>
              <w:rPr>
                <w:rStyle w:val="105"/>
              </w:rPr>
              <w:t>2</w:t>
            </w:r>
            <w:r>
              <w:rPr>
                <w:rStyle w:val="103"/>
                <w:rFonts w:hint="default" w:ascii="Times New Roman" w:hAnsi="Times New Roman"/>
              </w:rPr>
              <w:t>，主要建设生产车间、原料车间、成品库房、办公楼、食堂、宿舍等设施。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白云电气桂林电气节能及电力电子产业基地</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建设电气节能及电力电子产业基地。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高新七星区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桂林国家高新区循环化园区改造</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拟对园区</w:t>
            </w:r>
            <w:r>
              <w:rPr>
                <w:rStyle w:val="104"/>
              </w:rPr>
              <w:t>40</w:t>
            </w:r>
            <w:r>
              <w:rPr>
                <w:rStyle w:val="103"/>
                <w:rFonts w:hint="default" w:ascii="Times New Roman" w:hAnsi="Times New Roman"/>
              </w:rPr>
              <w:t>多家企业和园区基础设施进行循环化改造</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高新七星区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恭城龙星集团</w:t>
            </w:r>
            <w:r>
              <w:rPr>
                <w:rStyle w:val="104"/>
              </w:rPr>
              <w:t>10</w:t>
            </w:r>
            <w:r>
              <w:rPr>
                <w:rStyle w:val="103"/>
                <w:rFonts w:hint="default" w:ascii="Times New Roman" w:hAnsi="Times New Roman"/>
              </w:rPr>
              <w:t>万吨电锌</w:t>
            </w:r>
            <w:r>
              <w:rPr>
                <w:rStyle w:val="104"/>
              </w:rPr>
              <w:t>/</w:t>
            </w:r>
            <w:r>
              <w:rPr>
                <w:rStyle w:val="103"/>
                <w:rFonts w:hint="default" w:ascii="Times New Roman" w:hAnsi="Times New Roman"/>
              </w:rPr>
              <w:t>年配套建设硫磷钛资源综合利用项目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年产磷肥</w:t>
            </w:r>
            <w:r>
              <w:rPr>
                <w:rStyle w:val="104"/>
              </w:rPr>
              <w:t>20</w:t>
            </w:r>
            <w:r>
              <w:rPr>
                <w:rStyle w:val="103"/>
                <w:rFonts w:hint="default" w:ascii="Times New Roman" w:hAnsi="Times New Roman"/>
              </w:rPr>
              <w:t>万吨，</w:t>
            </w:r>
            <w:r>
              <w:rPr>
                <w:rStyle w:val="104"/>
              </w:rPr>
              <w:t>6</w:t>
            </w:r>
            <w:r>
              <w:rPr>
                <w:rStyle w:val="103"/>
                <w:rFonts w:hint="default" w:ascii="Times New Roman" w:hAnsi="Times New Roman"/>
              </w:rPr>
              <w:t>万吨钛白粉，</w:t>
            </w:r>
            <w:r>
              <w:rPr>
                <w:rStyle w:val="104"/>
              </w:rPr>
              <w:t>5</w:t>
            </w:r>
            <w:r>
              <w:rPr>
                <w:rStyle w:val="103"/>
                <w:rFonts w:hint="default" w:ascii="Times New Roman" w:hAnsi="Times New Roman"/>
              </w:rPr>
              <w:t>万吨硫酸锰。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65550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平乐凯迪绿色能源开发有限公司生物质能发电项目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1m</w:t>
            </w:r>
            <w:r>
              <w:rPr>
                <w:rStyle w:val="103"/>
                <w:rFonts w:hint="default" w:ascii="Times New Roman" w:hAnsi="Times New Roman"/>
              </w:rPr>
              <w:t>×</w:t>
            </w:r>
            <w:r>
              <w:rPr>
                <w:rStyle w:val="104"/>
              </w:rPr>
              <w:t>30m</w:t>
            </w:r>
            <w:r>
              <w:rPr>
                <w:rStyle w:val="103"/>
                <w:rFonts w:hint="default" w:ascii="Times New Roman" w:hAnsi="Times New Roman"/>
              </w:rPr>
              <w:t>的生物质发电机组以及建设高压蒸汽锅炉等配套设施，生产辅助用房等。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2016-2022</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苏桥开发区</w:t>
            </w:r>
            <w:r>
              <w:rPr>
                <w:rStyle w:val="104"/>
              </w:rPr>
              <w:t>LED</w:t>
            </w:r>
            <w:r>
              <w:rPr>
                <w:rStyle w:val="103"/>
                <w:rFonts w:hint="default" w:ascii="Times New Roman" w:hAnsi="Times New Roman"/>
              </w:rPr>
              <w:t>与</w:t>
            </w:r>
            <w:r>
              <w:rPr>
                <w:rStyle w:val="104"/>
              </w:rPr>
              <w:t>OLED</w:t>
            </w:r>
            <w:r>
              <w:rPr>
                <w:rStyle w:val="103"/>
                <w:rFonts w:hint="default" w:ascii="Times New Roman" w:hAnsi="Times New Roman"/>
              </w:rPr>
              <w:t>光电子产品项目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占地</w:t>
            </w:r>
            <w:r>
              <w:rPr>
                <w:rStyle w:val="104"/>
              </w:rPr>
              <w:t>300</w:t>
            </w:r>
            <w:r>
              <w:rPr>
                <w:rStyle w:val="103"/>
                <w:rFonts w:hint="default" w:ascii="Times New Roman" w:hAnsi="Times New Roman"/>
              </w:rPr>
              <w:t>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13"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量子光电节能产品生产基地项目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生产研发半导体照明、</w:t>
            </w:r>
            <w:r>
              <w:rPr>
                <w:rStyle w:val="104"/>
              </w:rPr>
              <w:t>LED</w:t>
            </w:r>
            <w:r>
              <w:rPr>
                <w:rStyle w:val="103"/>
                <w:rFonts w:hint="default" w:ascii="Times New Roman" w:hAnsi="Times New Roman"/>
              </w:rPr>
              <w:t>节能产品。</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27</w:t>
            </w:r>
          </w:p>
        </w:tc>
        <w:tc>
          <w:tcPr>
            <w:tcW w:w="3119" w:type="dxa"/>
            <w:shd w:val="clear" w:color="auto" w:fill="auto"/>
            <w:vAlign w:val="center"/>
          </w:tcPr>
          <w:p>
            <w:pPr>
              <w:widowControl/>
              <w:ind w:firstLine="0" w:firstLineChars="0"/>
              <w:jc w:val="center"/>
              <w:textAlignment w:val="center"/>
              <w:rPr>
                <w:rFonts w:cs="仿宋"/>
                <w:color w:val="000000"/>
                <w:sz w:val="21"/>
                <w:szCs w:val="21"/>
              </w:rPr>
            </w:pPr>
            <w:r>
              <w:rPr>
                <w:rFonts w:hint="eastAsia" w:cs="仿宋"/>
                <w:color w:val="000000"/>
                <w:kern w:val="0"/>
                <w:sz w:val="21"/>
                <w:szCs w:val="21"/>
              </w:rPr>
              <w:t>永福县高锋新型建材项目</w:t>
            </w:r>
          </w:p>
        </w:tc>
        <w:tc>
          <w:tcPr>
            <w:tcW w:w="6520" w:type="dxa"/>
            <w:shd w:val="clear" w:color="auto" w:fill="auto"/>
            <w:vAlign w:val="center"/>
          </w:tcPr>
          <w:p>
            <w:pPr>
              <w:widowControl/>
              <w:ind w:firstLine="0" w:firstLineChars="0"/>
              <w:textAlignment w:val="center"/>
              <w:rPr>
                <w:rFonts w:cs="仿宋"/>
                <w:color w:val="000000"/>
                <w:sz w:val="21"/>
                <w:szCs w:val="21"/>
              </w:rPr>
            </w:pPr>
            <w:r>
              <w:rPr>
                <w:rFonts w:hint="eastAsia" w:cs="仿宋"/>
                <w:color w:val="000000"/>
                <w:kern w:val="0"/>
                <w:sz w:val="21"/>
                <w:szCs w:val="21"/>
              </w:rPr>
              <w:t>新型建材及生产附属设施。</w:t>
            </w:r>
          </w:p>
        </w:tc>
        <w:tc>
          <w:tcPr>
            <w:tcW w:w="992"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19600</w:t>
            </w:r>
          </w:p>
        </w:tc>
        <w:tc>
          <w:tcPr>
            <w:tcW w:w="1560"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桂林华超科技有限公司粉煤灰及脱硫石膏等工业废渣循环利用项目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2</w:t>
            </w:r>
            <w:r>
              <w:rPr>
                <w:rStyle w:val="103"/>
                <w:rFonts w:hint="default" w:ascii="Times New Roman" w:hAnsi="Times New Roman"/>
              </w:rPr>
              <w:t>条生产线，新增破碎脱水机、雷蒙机、球磨机等设备，新建主厂房、原料仓库、半成品仓库、成品仓库等配套设施。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永福县福龙工业园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灵川县高新技术遮阳节能玻璃及节能门窗生产</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占地面积</w:t>
            </w:r>
            <w:r>
              <w:rPr>
                <w:rStyle w:val="104"/>
              </w:rPr>
              <w:t>45</w:t>
            </w:r>
            <w:r>
              <w:rPr>
                <w:rStyle w:val="103"/>
                <w:rFonts w:hint="default" w:ascii="Times New Roman" w:hAnsi="Times New Roman"/>
              </w:rPr>
              <w:t>亩，总建筑面积</w:t>
            </w:r>
            <w:r>
              <w:rPr>
                <w:rStyle w:val="104"/>
              </w:rPr>
              <w:t>31200 m</w:t>
            </w:r>
            <w:r>
              <w:rPr>
                <w:rStyle w:val="105"/>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灵川八里街工业园区循环改造项目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1.八里街工业园区基础设施建设项目；</w:t>
            </w:r>
            <w:r>
              <w:rPr>
                <w:rStyle w:val="104"/>
              </w:rPr>
              <w:t>2.</w:t>
            </w:r>
            <w:r>
              <w:rPr>
                <w:rStyle w:val="103"/>
                <w:rFonts w:hint="default" w:ascii="Times New Roman" w:hAnsi="Times New Roman"/>
              </w:rPr>
              <w:t>八里街工业废弃物料集中回收建设项目；</w:t>
            </w:r>
            <w:r>
              <w:rPr>
                <w:rStyle w:val="104"/>
              </w:rPr>
              <w:t>3.</w:t>
            </w:r>
            <w:r>
              <w:rPr>
                <w:rStyle w:val="103"/>
                <w:rFonts w:hint="default" w:ascii="Times New Roman" w:hAnsi="Times New Roman"/>
              </w:rPr>
              <w:t>八里街工业园区供电系统改造项目；</w:t>
            </w:r>
            <w:r>
              <w:rPr>
                <w:rStyle w:val="104"/>
              </w:rPr>
              <w:t>4.</w:t>
            </w:r>
            <w:r>
              <w:rPr>
                <w:rStyle w:val="103"/>
                <w:rFonts w:hint="default" w:ascii="Times New Roman" w:hAnsi="Times New Roman"/>
              </w:rPr>
              <w:t>八里街工业污水处理建设项目。</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28470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灵川八里街工业园区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工程机械再制造基地项目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主要建设废旧工程机械拆解回收生产线</w:t>
            </w:r>
            <w:r>
              <w:rPr>
                <w:rStyle w:val="104"/>
              </w:rPr>
              <w:t>2</w:t>
            </w:r>
            <w:r>
              <w:rPr>
                <w:rStyle w:val="103"/>
                <w:rFonts w:hint="default" w:ascii="Times New Roman" w:hAnsi="Times New Roman"/>
              </w:rPr>
              <w:t>条、零部件再制造、零配件加工生产及配套设施。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2016-2021</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灵川八里街工业园区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报废拆解搬迁改造项目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主要建设拆解车间、地面停车场、拆解物堆放处等设施。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灵川八里街工业园区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荔浦县宇浩新型环保建材厂新建厂房建设项目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建筑面积</w:t>
            </w:r>
            <w:r>
              <w:rPr>
                <w:rStyle w:val="104"/>
              </w:rPr>
              <w:t>18000 m</w:t>
            </w:r>
            <w:r>
              <w:rPr>
                <w:rStyle w:val="105"/>
              </w:rPr>
              <w:t>2</w:t>
            </w:r>
            <w:r>
              <w:rPr>
                <w:rStyle w:val="103"/>
                <w:rFonts w:hint="default" w:ascii="Times New Roman" w:hAnsi="Times New Roman"/>
              </w:rPr>
              <w:t>，建厂房、办公室、购设备，年产新型环保建材</w:t>
            </w:r>
            <w:r>
              <w:rPr>
                <w:rStyle w:val="104"/>
              </w:rPr>
              <w:t>8</w:t>
            </w:r>
            <w:r>
              <w:rPr>
                <w:rStyle w:val="103"/>
                <w:rFonts w:hint="default" w:ascii="Times New Roman" w:hAnsi="Times New Roman"/>
              </w:rPr>
              <w:t>万吨。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桂林市采用优质节能工艺年产</w:t>
            </w:r>
            <w:r>
              <w:rPr>
                <w:rStyle w:val="104"/>
              </w:rPr>
              <w:t>1500</w:t>
            </w:r>
            <w:r>
              <w:rPr>
                <w:rStyle w:val="103"/>
                <w:rFonts w:hint="default" w:ascii="Times New Roman" w:hAnsi="Times New Roman"/>
              </w:rPr>
              <w:t>万件（套）生活用瓷</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1.新增土地</w:t>
            </w:r>
            <w:r>
              <w:rPr>
                <w:rStyle w:val="104"/>
              </w:rPr>
              <w:t>160</w:t>
            </w:r>
            <w:r>
              <w:rPr>
                <w:rStyle w:val="103"/>
                <w:rFonts w:hint="default" w:ascii="Times New Roman" w:hAnsi="Times New Roman"/>
              </w:rPr>
              <w:t>亩；</w:t>
            </w:r>
            <w:r>
              <w:rPr>
                <w:rStyle w:val="104"/>
              </w:rPr>
              <w:t>2.</w:t>
            </w:r>
            <w:r>
              <w:rPr>
                <w:rStyle w:val="103"/>
                <w:rFonts w:hint="default" w:ascii="Times New Roman" w:hAnsi="Times New Roman"/>
              </w:rPr>
              <w:t>新建标准厂房</w:t>
            </w:r>
            <w:r>
              <w:rPr>
                <w:rStyle w:val="104"/>
              </w:rPr>
              <w:t>20000 m</w:t>
            </w:r>
            <w:r>
              <w:rPr>
                <w:rStyle w:val="105"/>
              </w:rPr>
              <w:t>2</w:t>
            </w:r>
            <w:r>
              <w:rPr>
                <w:rStyle w:val="103"/>
                <w:rFonts w:hint="default" w:ascii="Times New Roman" w:hAnsi="Times New Roman"/>
              </w:rPr>
              <w:t>；</w:t>
            </w:r>
            <w:r>
              <w:rPr>
                <w:rStyle w:val="104"/>
              </w:rPr>
              <w:t>3.</w:t>
            </w:r>
            <w:r>
              <w:rPr>
                <w:rStyle w:val="103"/>
                <w:rFonts w:hint="default" w:ascii="Times New Roman" w:hAnsi="Times New Roman"/>
              </w:rPr>
              <w:t>新建陶瓷生产线</w:t>
            </w:r>
            <w:r>
              <w:rPr>
                <w:rStyle w:val="104"/>
              </w:rPr>
              <w:t>6</w:t>
            </w:r>
            <w:r>
              <w:rPr>
                <w:rStyle w:val="103"/>
                <w:rFonts w:hint="default" w:ascii="Times New Roman" w:hAnsi="Times New Roman"/>
              </w:rPr>
              <w:t>条；</w:t>
            </w:r>
            <w:r>
              <w:rPr>
                <w:rStyle w:val="104"/>
              </w:rPr>
              <w:t>4.</w:t>
            </w:r>
            <w:r>
              <w:rPr>
                <w:rStyle w:val="103"/>
                <w:rFonts w:hint="default" w:ascii="Times New Roman" w:hAnsi="Times New Roman"/>
              </w:rPr>
              <w:t>配套的供电供水道路建设。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资源县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荔浦县工业企业技术升级改造工程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对全县80家规模工业企业进行技术升级、更新改造，建筑面积80万平方米，更新设备850台套。</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灌阳县工业集中区循环改造项目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文市锰业循环经济产业园总占地面积</w:t>
            </w:r>
            <w:r>
              <w:rPr>
                <w:rStyle w:val="104"/>
              </w:rPr>
              <w:t>1000</w:t>
            </w:r>
            <w:r>
              <w:rPr>
                <w:rStyle w:val="103"/>
                <w:rFonts w:hint="default" w:ascii="Times New Roman" w:hAnsi="Times New Roman"/>
              </w:rPr>
              <w:t>亩，计划引进或通过技改建成</w:t>
            </w:r>
            <w:r>
              <w:rPr>
                <w:rStyle w:val="104"/>
              </w:rPr>
              <w:t>10</w:t>
            </w:r>
            <w:r>
              <w:rPr>
                <w:rStyle w:val="103"/>
                <w:rFonts w:hint="default" w:ascii="Times New Roman" w:hAnsi="Times New Roman"/>
              </w:rPr>
              <w:t>台</w:t>
            </w:r>
            <w:r>
              <w:rPr>
                <w:rStyle w:val="104"/>
              </w:rPr>
              <w:t>2.5</w:t>
            </w:r>
            <w:r>
              <w:rPr>
                <w:rStyle w:val="103"/>
                <w:rFonts w:hint="default" w:ascii="Times New Roman" w:hAnsi="Times New Roman"/>
              </w:rPr>
              <w:t>万</w:t>
            </w:r>
            <w:r>
              <w:rPr>
                <w:rStyle w:val="104"/>
              </w:rPr>
              <w:t>KVA</w:t>
            </w:r>
            <w:r>
              <w:rPr>
                <w:rStyle w:val="103"/>
                <w:rFonts w:hint="default" w:ascii="Times New Roman" w:hAnsi="Times New Roman"/>
              </w:rPr>
              <w:t>标准矿热炉和</w:t>
            </w:r>
            <w:r>
              <w:rPr>
                <w:rStyle w:val="104"/>
              </w:rPr>
              <w:t>3</w:t>
            </w:r>
            <w:r>
              <w:rPr>
                <w:rStyle w:val="103"/>
                <w:rFonts w:hint="default" w:ascii="Times New Roman" w:hAnsi="Times New Roman"/>
              </w:rPr>
              <w:t>台精炼炉生产线。</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（二）农业</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17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654740</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8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桂林市循环农业示范市建设项目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1.示范推广种养互促循环农业模式15万亩；2.示范推广资源节约型环境友好型循环农业模式20万亩；3.示范推广生态友好型循环农业模式30万亩；4.示范推广立体种养循环农业模式7万亩。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35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桂林漓江流域生态循环农业技术模式示范与推广项目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1.种养互促循环农业模式；</w:t>
            </w:r>
            <w:r>
              <w:rPr>
                <w:rStyle w:val="104"/>
              </w:rPr>
              <w:t>2</w:t>
            </w:r>
            <w:r>
              <w:rPr>
                <w:rStyle w:val="104"/>
                <w:rFonts w:hint="eastAsia"/>
              </w:rPr>
              <w:t>.</w:t>
            </w:r>
            <w:r>
              <w:rPr>
                <w:rStyle w:val="103"/>
                <w:rFonts w:hint="default" w:ascii="Times New Roman" w:hAnsi="Times New Roman"/>
              </w:rPr>
              <w:t>资源节约型环境友好型循环农业技术模式；</w:t>
            </w:r>
            <w:r>
              <w:rPr>
                <w:rStyle w:val="104"/>
              </w:rPr>
              <w:t>3.</w:t>
            </w:r>
            <w:r>
              <w:rPr>
                <w:rStyle w:val="103"/>
                <w:rFonts w:hint="default" w:ascii="Times New Roman" w:hAnsi="Times New Roman"/>
              </w:rPr>
              <w:t>生态环境友好型循环农业技术模式。其中：土壤培肥循环农业技术模式；测土配方施肥循环农业技术模式；农作物秸杆还田循环农业技术模式；</w:t>
            </w:r>
            <w:r>
              <w:rPr>
                <w:rStyle w:val="104"/>
              </w:rPr>
              <w:t>4.</w:t>
            </w:r>
            <w:r>
              <w:rPr>
                <w:rStyle w:val="103"/>
                <w:rFonts w:hint="default" w:ascii="Times New Roman" w:hAnsi="Times New Roman"/>
              </w:rPr>
              <w:t>立体种养循环农业技术模式；</w:t>
            </w:r>
            <w:r>
              <w:rPr>
                <w:rStyle w:val="104"/>
              </w:rPr>
              <w:t>5.</w:t>
            </w:r>
            <w:r>
              <w:rPr>
                <w:rStyle w:val="103"/>
                <w:rFonts w:hint="default" w:ascii="Times New Roman" w:hAnsi="Times New Roman"/>
              </w:rPr>
              <w:t>农村生活污圾循环技术模式示范村</w:t>
            </w:r>
            <w:r>
              <w:rPr>
                <w:rStyle w:val="104"/>
              </w:rPr>
              <w:t>20</w:t>
            </w:r>
            <w:r>
              <w:rPr>
                <w:rStyle w:val="103"/>
                <w:rFonts w:hint="default" w:ascii="Times New Roman" w:hAnsi="Times New Roman"/>
              </w:rPr>
              <w:t>个，农业投入品废弃物循环技术模式示范面积</w:t>
            </w:r>
            <w:r>
              <w:rPr>
                <w:rStyle w:val="104"/>
              </w:rPr>
              <w:t>5</w:t>
            </w:r>
            <w:r>
              <w:rPr>
                <w:rStyle w:val="103"/>
                <w:rFonts w:hint="default" w:ascii="Times New Roman" w:hAnsi="Times New Roman"/>
              </w:rPr>
              <w:t>万亩，种植业废弃物循环利用技术示范面积</w:t>
            </w:r>
            <w:r>
              <w:rPr>
                <w:rStyle w:val="104"/>
              </w:rPr>
              <w:t>10</w:t>
            </w:r>
            <w:r>
              <w:rPr>
                <w:rStyle w:val="103"/>
                <w:rFonts w:hint="default" w:ascii="Times New Roman" w:hAnsi="Times New Roman"/>
              </w:rPr>
              <w:t>万亩。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15080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桂林市生物有机肥生产建设项目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建设一个年生产</w:t>
            </w:r>
            <w:r>
              <w:rPr>
                <w:rStyle w:val="104"/>
              </w:rPr>
              <w:t>20</w:t>
            </w:r>
            <w:r>
              <w:rPr>
                <w:rStyle w:val="103"/>
                <w:rFonts w:hint="default" w:ascii="Times New Roman" w:hAnsi="Times New Roman"/>
              </w:rPr>
              <w:t>万吨生物肥的加工厂和</w:t>
            </w:r>
            <w:r>
              <w:rPr>
                <w:rStyle w:val="104"/>
              </w:rPr>
              <w:t>4</w:t>
            </w:r>
            <w:r>
              <w:rPr>
                <w:rStyle w:val="103"/>
                <w:rFonts w:hint="default" w:ascii="Times New Roman" w:hAnsi="Times New Roman"/>
              </w:rPr>
              <w:t>个配套畜禽粪初加工厂。</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阳朔县白沙镇林下养殖蜜蜂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林下养殖蜜蜂</w:t>
            </w:r>
            <w:r>
              <w:rPr>
                <w:rStyle w:val="104"/>
              </w:rPr>
              <w:t>6800</w:t>
            </w:r>
            <w:r>
              <w:rPr>
                <w:rStyle w:val="103"/>
                <w:rFonts w:hint="default" w:ascii="Times New Roman" w:hAnsi="Times New Roman"/>
              </w:rPr>
              <w:t>群</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324</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阳朔县高田镇龙潭村林下种植金花茶</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林下种植金花茶</w:t>
            </w:r>
            <w:r>
              <w:rPr>
                <w:rStyle w:val="104"/>
              </w:rPr>
              <w:t>500</w:t>
            </w:r>
            <w:r>
              <w:rPr>
                <w:rStyle w:val="103"/>
                <w:rFonts w:hint="default" w:ascii="Times New Roman" w:hAnsi="Times New Roman"/>
              </w:rPr>
              <w:t>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5323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灵川县林下经济项目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林下种植铁皮石斛、草珊瑚、灵芝等林下中药材种植业。全县范围内发展林下经济20万亩。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06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荔浦县农产品及加工副产物综合利用建设项目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利用五年时间，建成</w:t>
            </w:r>
            <w:r>
              <w:rPr>
                <w:rStyle w:val="104"/>
              </w:rPr>
              <w:t>8~20</w:t>
            </w:r>
            <w:r>
              <w:rPr>
                <w:rStyle w:val="103"/>
                <w:rFonts w:hint="default" w:ascii="Times New Roman" w:hAnsi="Times New Roman"/>
              </w:rPr>
              <w:t>家农产品副产物综合利用加工企业，年加工</w:t>
            </w:r>
            <w:r>
              <w:rPr>
                <w:rFonts w:hint="eastAsia" w:cs="仿宋"/>
                <w:color w:val="000000"/>
                <w:kern w:val="0"/>
                <w:sz w:val="21"/>
                <w:szCs w:val="21"/>
              </w:rPr>
              <w:t>“</w:t>
            </w:r>
            <w:r>
              <w:rPr>
                <w:rStyle w:val="103"/>
                <w:rFonts w:hint="default" w:ascii="Times New Roman" w:hAnsi="Times New Roman"/>
              </w:rPr>
              <w:t>三剩物</w:t>
            </w:r>
            <w:r>
              <w:rPr>
                <w:rFonts w:hint="eastAsia" w:cs="仿宋"/>
                <w:color w:val="000000"/>
                <w:kern w:val="0"/>
                <w:sz w:val="21"/>
                <w:szCs w:val="21"/>
              </w:rPr>
              <w:t>”</w:t>
            </w:r>
            <w:r>
              <w:rPr>
                <w:rStyle w:val="103"/>
                <w:rFonts w:hint="default" w:ascii="Times New Roman" w:hAnsi="Times New Roman"/>
              </w:rPr>
              <w:t>、马蹄、谷物、玉米、果蔬类等大宗农产品副产物</w:t>
            </w:r>
            <w:r>
              <w:rPr>
                <w:rStyle w:val="104"/>
              </w:rPr>
              <w:t>8000</w:t>
            </w:r>
            <w:r>
              <w:rPr>
                <w:rStyle w:val="103"/>
                <w:rFonts w:hint="default" w:ascii="Times New Roman" w:hAnsi="Times New Roman"/>
              </w:rPr>
              <w:t>万吨，项目建成后可大幅提高全县农产品加工能力和副产物综合利用力，将得到充分利用，切实做到变废为宝，减少资源浪费，遏制环境污染。</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05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荔浦县柑橘水肥一体化生产技术集成示范与推广</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通过选择“三无”环境的柑橘基地作为推广园，示范推广应用膜下滴灌水肥一体化技术、测土配方施肥技术、以控制柑橘木虱为重点的柑橘黄龙病综合防控技术、节本增效生产技术等，全面实施现代农业生产技术。规模：建立柑橘水肥一体化生产技术集成示范</w:t>
            </w:r>
            <w:r>
              <w:rPr>
                <w:rStyle w:val="104"/>
              </w:rPr>
              <w:t>2000</w:t>
            </w:r>
            <w:r>
              <w:rPr>
                <w:rStyle w:val="103"/>
                <w:rFonts w:hint="default" w:ascii="Times New Roman" w:hAnsi="Times New Roman"/>
              </w:rPr>
              <w:t>亩，推广应用</w:t>
            </w:r>
            <w:r>
              <w:rPr>
                <w:rStyle w:val="104"/>
              </w:rPr>
              <w:t>20000</w:t>
            </w:r>
            <w:r>
              <w:rPr>
                <w:rStyle w:val="103"/>
                <w:rFonts w:hint="default" w:ascii="Times New Roman" w:hAnsi="Times New Roman"/>
              </w:rPr>
              <w:t>亩；亩产量达</w:t>
            </w:r>
            <w:r>
              <w:rPr>
                <w:rStyle w:val="104"/>
              </w:rPr>
              <w:t>2500</w:t>
            </w:r>
            <w:r>
              <w:rPr>
                <w:rStyle w:val="103"/>
                <w:rFonts w:hint="default" w:ascii="Times New Roman" w:hAnsi="Times New Roman"/>
              </w:rPr>
              <w:t>公斤；果品达到绿色</w:t>
            </w:r>
            <w:r>
              <w:rPr>
                <w:rStyle w:val="104"/>
              </w:rPr>
              <w:t>A</w:t>
            </w:r>
            <w:r>
              <w:rPr>
                <w:rStyle w:val="103"/>
                <w:rFonts w:hint="default" w:ascii="Times New Roman" w:hAnsi="Times New Roman"/>
              </w:rPr>
              <w:t>级产品。</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荔浦县无公害标准化林下养鸡基地建设</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组织林下养鸡协会，发展会员</w:t>
            </w:r>
            <w:r>
              <w:rPr>
                <w:rStyle w:val="104"/>
              </w:rPr>
              <w:t>500</w:t>
            </w:r>
            <w:r>
              <w:rPr>
                <w:rStyle w:val="103"/>
                <w:rFonts w:hint="default" w:ascii="Times New Roman" w:hAnsi="Times New Roman"/>
              </w:rPr>
              <w:t>户，年出栏林下草鸡</w:t>
            </w:r>
            <w:r>
              <w:rPr>
                <w:rStyle w:val="104"/>
              </w:rPr>
              <w:t>1000</w:t>
            </w:r>
            <w:r>
              <w:rPr>
                <w:rStyle w:val="103"/>
                <w:rFonts w:hint="default" w:ascii="Times New Roman" w:hAnsi="Times New Roman"/>
              </w:rPr>
              <w:t>万羽。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1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全州县生态农业建设工程与生态循环农业技术模式示范</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在全县</w:t>
            </w:r>
            <w:r>
              <w:rPr>
                <w:rStyle w:val="104"/>
              </w:rPr>
              <w:t>18</w:t>
            </w:r>
            <w:r>
              <w:rPr>
                <w:rStyle w:val="103"/>
                <w:rFonts w:hint="default" w:ascii="Times New Roman" w:hAnsi="Times New Roman"/>
              </w:rPr>
              <w:t>个乡镇因地制宜示范建设生态农业示范村</w:t>
            </w:r>
            <w:r>
              <w:rPr>
                <w:rStyle w:val="104"/>
              </w:rPr>
              <w:t>100</w:t>
            </w:r>
            <w:r>
              <w:rPr>
                <w:rStyle w:val="103"/>
                <w:rFonts w:hint="default" w:ascii="Times New Roman" w:hAnsi="Times New Roman"/>
              </w:rPr>
              <w:t>个。选建特色生态农业示范村，示范推广</w:t>
            </w:r>
            <w:r>
              <w:rPr>
                <w:rFonts w:hint="eastAsia" w:cs="仿宋"/>
                <w:color w:val="000000"/>
                <w:kern w:val="0"/>
                <w:sz w:val="21"/>
                <w:szCs w:val="21"/>
              </w:rPr>
              <w:t>“</w:t>
            </w:r>
            <w:r>
              <w:rPr>
                <w:rStyle w:val="103"/>
                <w:rFonts w:hint="default" w:ascii="Times New Roman" w:hAnsi="Times New Roman"/>
              </w:rPr>
              <w:t>猪</w:t>
            </w:r>
            <w:r>
              <w:rPr>
                <w:rStyle w:val="104"/>
              </w:rPr>
              <w:t>-</w:t>
            </w:r>
            <w:r>
              <w:rPr>
                <w:rStyle w:val="103"/>
                <w:rFonts w:hint="default" w:ascii="Times New Roman" w:hAnsi="Times New Roman"/>
              </w:rPr>
              <w:t>沼</w:t>
            </w:r>
            <w:r>
              <w:rPr>
                <w:rStyle w:val="104"/>
              </w:rPr>
              <w:t>-</w:t>
            </w:r>
            <w:r>
              <w:rPr>
                <w:rStyle w:val="103"/>
                <w:rFonts w:hint="default" w:ascii="Times New Roman" w:hAnsi="Times New Roman"/>
              </w:rPr>
              <w:t>果</w:t>
            </w:r>
            <w:r>
              <w:rPr>
                <w:rStyle w:val="104"/>
              </w:rPr>
              <w:t>-</w:t>
            </w:r>
            <w:r>
              <w:rPr>
                <w:rStyle w:val="103"/>
                <w:rFonts w:hint="default" w:ascii="Times New Roman" w:hAnsi="Times New Roman"/>
              </w:rPr>
              <w:t>灯</w:t>
            </w:r>
            <w:r>
              <w:rPr>
                <w:rStyle w:val="104"/>
              </w:rPr>
              <w:t>-</w:t>
            </w:r>
            <w:r>
              <w:rPr>
                <w:rStyle w:val="103"/>
                <w:rFonts w:hint="default" w:ascii="Times New Roman" w:hAnsi="Times New Roman"/>
              </w:rPr>
              <w:t>鱼</w:t>
            </w:r>
            <w:r>
              <w:rPr>
                <w:rFonts w:hint="eastAsia" w:cs="仿宋"/>
                <w:color w:val="000000"/>
                <w:kern w:val="0"/>
                <w:sz w:val="21"/>
                <w:szCs w:val="21"/>
              </w:rPr>
              <w:t>”“</w:t>
            </w:r>
            <w:r>
              <w:rPr>
                <w:rStyle w:val="103"/>
                <w:rFonts w:hint="default" w:ascii="Times New Roman" w:hAnsi="Times New Roman"/>
              </w:rPr>
              <w:t>稻</w:t>
            </w:r>
            <w:r>
              <w:rPr>
                <w:rStyle w:val="104"/>
              </w:rPr>
              <w:t>-</w:t>
            </w:r>
            <w:r>
              <w:rPr>
                <w:rStyle w:val="103"/>
                <w:rFonts w:hint="default" w:ascii="Times New Roman" w:hAnsi="Times New Roman"/>
              </w:rPr>
              <w:t>灯</w:t>
            </w:r>
            <w:r>
              <w:rPr>
                <w:rStyle w:val="104"/>
              </w:rPr>
              <w:t>-</w:t>
            </w:r>
            <w:r>
              <w:rPr>
                <w:rStyle w:val="103"/>
                <w:rFonts w:hint="default" w:ascii="Times New Roman" w:hAnsi="Times New Roman"/>
              </w:rPr>
              <w:t>鱼</w:t>
            </w:r>
            <w:r>
              <w:rPr>
                <w:rStyle w:val="104"/>
              </w:rPr>
              <w:t>-</w:t>
            </w:r>
            <w:r>
              <w:rPr>
                <w:rStyle w:val="103"/>
                <w:rFonts w:hint="default" w:ascii="Times New Roman" w:hAnsi="Times New Roman"/>
              </w:rPr>
              <w:t>菇</w:t>
            </w:r>
            <w:r>
              <w:rPr>
                <w:rFonts w:hint="eastAsia" w:cs="仿宋"/>
                <w:color w:val="000000"/>
                <w:kern w:val="0"/>
                <w:sz w:val="21"/>
                <w:szCs w:val="21"/>
              </w:rPr>
              <w:t>”</w:t>
            </w:r>
            <w:r>
              <w:rPr>
                <w:rStyle w:val="103"/>
                <w:rFonts w:hint="default" w:ascii="Times New Roman" w:hAnsi="Times New Roman"/>
              </w:rPr>
              <w:t>等生态循环农业模式、技术。以及不同循环农业技术模式示范与应用。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全州县稻灯鱼菇生态循环农业示范区</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500亩超级稻生产、安装诱虫灯、稻田养鱼、种植双孢蘑菇。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广西桂林</w:t>
            </w:r>
            <w:r>
              <w:rPr>
                <w:rFonts w:hint="eastAsia" w:cs="仿宋"/>
                <w:color w:val="000000"/>
                <w:kern w:val="0"/>
                <w:sz w:val="21"/>
                <w:szCs w:val="21"/>
                <w:lang w:eastAsia="zh-CN"/>
              </w:rPr>
              <w:t>兴安县</w:t>
            </w:r>
            <w:r>
              <w:rPr>
                <w:rFonts w:hint="eastAsia" w:cs="仿宋"/>
                <w:color w:val="000000"/>
                <w:kern w:val="0"/>
                <w:sz w:val="21"/>
                <w:szCs w:val="21"/>
              </w:rPr>
              <w:t>禾花鱼繁殖核示范基地建设</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建设人工孵化设施，改造鱼苗培育池50亩。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兴安县生态农业银杏系列产品发展建设项目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银杏园建设、银杏种植及银杏系列产品加工。</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59313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灌阳县都市农业及特色生物资源产业化开发</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新建名贵中药材铁皮石斛、金线莲等培育种植基地、特色农产品深加工区及交易市场、特色农业示范区和观光旅游区、养生旅游度假区。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2016-2022</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62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全州县禾花鱼产业化循环生产项目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1.禾花鱼稻田生态养殖基地建设建立</w:t>
            </w:r>
            <w:r>
              <w:rPr>
                <w:rStyle w:val="104"/>
              </w:rPr>
              <w:t>200</w:t>
            </w:r>
            <w:r>
              <w:rPr>
                <w:rStyle w:val="103"/>
                <w:rFonts w:hint="default" w:ascii="Times New Roman" w:hAnsi="Times New Roman"/>
              </w:rPr>
              <w:t>亩连片以上的标准示范点，投资</w:t>
            </w:r>
            <w:r>
              <w:rPr>
                <w:rStyle w:val="104"/>
              </w:rPr>
              <w:t>400</w:t>
            </w:r>
            <w:r>
              <w:rPr>
                <w:rStyle w:val="103"/>
                <w:rFonts w:hint="default" w:ascii="Times New Roman" w:hAnsi="Times New Roman"/>
              </w:rPr>
              <w:t>万；</w:t>
            </w:r>
            <w:r>
              <w:rPr>
                <w:rStyle w:val="104"/>
              </w:rPr>
              <w:t>2.</w:t>
            </w:r>
            <w:r>
              <w:rPr>
                <w:rStyle w:val="103"/>
                <w:rFonts w:hint="default" w:ascii="Times New Roman" w:hAnsi="Times New Roman"/>
              </w:rPr>
              <w:t>禾花鱼苗种良种生产基地，总面积</w:t>
            </w:r>
            <w:r>
              <w:rPr>
                <w:rStyle w:val="104"/>
              </w:rPr>
              <w:t>400</w:t>
            </w:r>
            <w:r>
              <w:rPr>
                <w:rStyle w:val="103"/>
                <w:rFonts w:hint="default" w:ascii="Times New Roman" w:hAnsi="Times New Roman"/>
              </w:rPr>
              <w:t>亩投资</w:t>
            </w:r>
            <w:r>
              <w:rPr>
                <w:rStyle w:val="104"/>
              </w:rPr>
              <w:t>400</w:t>
            </w:r>
            <w:r>
              <w:rPr>
                <w:rStyle w:val="103"/>
                <w:rFonts w:hint="default" w:ascii="Times New Roman" w:hAnsi="Times New Roman"/>
              </w:rPr>
              <w:t>万；</w:t>
            </w:r>
            <w:r>
              <w:rPr>
                <w:rStyle w:val="104"/>
              </w:rPr>
              <w:t>3.</w:t>
            </w:r>
            <w:r>
              <w:rPr>
                <w:rStyle w:val="103"/>
                <w:rFonts w:hint="default" w:ascii="Times New Roman" w:hAnsi="Times New Roman"/>
              </w:rPr>
              <w:t>深加工产业整合年加工量达</w:t>
            </w:r>
            <w:r>
              <w:rPr>
                <w:rStyle w:val="104"/>
              </w:rPr>
              <w:t>2000</w:t>
            </w:r>
            <w:r>
              <w:rPr>
                <w:rStyle w:val="103"/>
                <w:rFonts w:hint="default" w:ascii="Times New Roman" w:hAnsi="Times New Roman"/>
              </w:rPr>
              <w:t>吨以上的联营股份规模企业联盟投资</w:t>
            </w:r>
            <w:r>
              <w:rPr>
                <w:rStyle w:val="104"/>
              </w:rPr>
              <w:t>800</w:t>
            </w:r>
            <w:r>
              <w:rPr>
                <w:rStyle w:val="103"/>
                <w:rFonts w:hint="default" w:ascii="Times New Roman" w:hAnsi="Times New Roman"/>
              </w:rPr>
              <w:t>万；</w:t>
            </w:r>
            <w:r>
              <w:rPr>
                <w:rStyle w:val="104"/>
              </w:rPr>
              <w:t>4.</w:t>
            </w:r>
            <w:r>
              <w:rPr>
                <w:rStyle w:val="103"/>
                <w:rFonts w:hint="default" w:ascii="Times New Roman" w:hAnsi="Times New Roman"/>
              </w:rPr>
              <w:t>建设一间</w:t>
            </w:r>
            <w:r>
              <w:rPr>
                <w:rStyle w:val="104"/>
              </w:rPr>
              <w:t>20m</w:t>
            </w:r>
            <w:r>
              <w:rPr>
                <w:rStyle w:val="105"/>
              </w:rPr>
              <w:t>2</w:t>
            </w:r>
            <w:r>
              <w:rPr>
                <w:rStyle w:val="103"/>
                <w:rFonts w:hint="default" w:ascii="Times New Roman" w:hAnsi="Times New Roman"/>
              </w:rPr>
              <w:t>的专用信息化现代化的办公室，专职负责品牌的组织宣传打造工作，投资</w:t>
            </w:r>
            <w:r>
              <w:rPr>
                <w:rStyle w:val="104"/>
              </w:rPr>
              <w:t>200</w:t>
            </w:r>
            <w:r>
              <w:rPr>
                <w:rStyle w:val="103"/>
                <w:rFonts w:hint="default" w:ascii="Times New Roman" w:hAnsi="Times New Roman"/>
              </w:rPr>
              <w:t>万；</w:t>
            </w:r>
            <w:r>
              <w:rPr>
                <w:rStyle w:val="104"/>
              </w:rPr>
              <w:t>5.</w:t>
            </w:r>
            <w:r>
              <w:rPr>
                <w:rStyle w:val="103"/>
                <w:rFonts w:hint="default" w:ascii="Times New Roman" w:hAnsi="Times New Roman"/>
              </w:rPr>
              <w:t>禾花鱼产业加工产品在</w:t>
            </w:r>
            <w:r>
              <w:rPr>
                <w:rStyle w:val="104"/>
              </w:rPr>
              <w:t>10000</w:t>
            </w:r>
            <w:r>
              <w:rPr>
                <w:rStyle w:val="103"/>
                <w:rFonts w:hint="default" w:ascii="Times New Roman" w:hAnsi="Times New Roman"/>
              </w:rPr>
              <w:t>吨以上的信息化设施化具有市场竞争力和组织能力的规模化流通企业或组织联盟，具有专门的办公场所和信息化平台，投资</w:t>
            </w:r>
            <w:r>
              <w:rPr>
                <w:rStyle w:val="104"/>
              </w:rPr>
              <w:t>200</w:t>
            </w:r>
            <w:r>
              <w:rPr>
                <w:rStyle w:val="103"/>
                <w:rFonts w:hint="default" w:ascii="Times New Roman" w:hAnsi="Times New Roman"/>
              </w:rPr>
              <w:t>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永福县“非粮”型牧业综合开发和无公害西红柿种植基地项目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新建2个大型草食动物养殖示范基地；新建2个中型秸秆和牧草饲料加工企业；开发和种植20万亩优质牧草；新建500户草食动物规模养殖户、20000亩种植基地。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农产品加工及综合利用产业基地</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占地</w:t>
            </w:r>
            <w:r>
              <w:rPr>
                <w:rStyle w:val="104"/>
              </w:rPr>
              <w:t>4.2km</w:t>
            </w:r>
            <w:r>
              <w:rPr>
                <w:rStyle w:val="105"/>
              </w:rPr>
              <w:t>2</w:t>
            </w:r>
            <w:r>
              <w:rPr>
                <w:rStyle w:val="103"/>
                <w:rFonts w:hint="default" w:ascii="Times New Roman" w:hAnsi="Times New Roman"/>
              </w:rPr>
              <w:t>，充分利用桂林当地资源优势，引进农产品及副产物综合利用产业。</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（三）战略性新兴产业</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4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135656</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桂林电器科学研究院有限公司电工电子新材料产业基地搬迁改造项目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建产品检测与生产调度中心等建筑面积约</w:t>
            </w:r>
            <w:r>
              <w:rPr>
                <w:rStyle w:val="104"/>
              </w:rPr>
              <w:t>35000m</w:t>
            </w:r>
            <w:r>
              <w:rPr>
                <w:rStyle w:val="105"/>
              </w:rPr>
              <w:t>2</w:t>
            </w:r>
            <w:r>
              <w:rPr>
                <w:rStyle w:val="103"/>
                <w:rFonts w:hint="default" w:ascii="Times New Roman" w:hAnsi="Times New Roman"/>
              </w:rPr>
              <w:t>，搬迁原有的</w:t>
            </w:r>
            <w:r>
              <w:rPr>
                <w:rStyle w:val="104"/>
              </w:rPr>
              <w:t>156</w:t>
            </w:r>
            <w:r>
              <w:rPr>
                <w:rStyle w:val="103"/>
                <w:rFonts w:hint="default" w:ascii="Times New Roman" w:hAnsi="Times New Roman"/>
              </w:rPr>
              <w:t>台套生产设备，形成年产</w:t>
            </w:r>
            <w:r>
              <w:rPr>
                <w:rStyle w:val="104"/>
              </w:rPr>
              <w:t>100</w:t>
            </w:r>
            <w:r>
              <w:rPr>
                <w:rStyle w:val="103"/>
                <w:rFonts w:hint="default" w:ascii="Times New Roman" w:hAnsi="Times New Roman"/>
              </w:rPr>
              <w:t>吨聚酰亚胺薄膜，</w:t>
            </w:r>
            <w:r>
              <w:rPr>
                <w:rStyle w:val="104"/>
              </w:rPr>
              <w:t>100</w:t>
            </w:r>
            <w:r>
              <w:rPr>
                <w:rStyle w:val="103"/>
                <w:rFonts w:hint="default" w:ascii="Times New Roman" w:hAnsi="Times New Roman"/>
              </w:rPr>
              <w:t>万片真空触头元件的生产能力。</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高新七星区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基于物联网的</w:t>
            </w:r>
            <w:r>
              <w:rPr>
                <w:rStyle w:val="104"/>
              </w:rPr>
              <w:t>LED</w:t>
            </w:r>
            <w:r>
              <w:rPr>
                <w:rStyle w:val="103"/>
                <w:rFonts w:hint="default" w:ascii="Times New Roman" w:hAnsi="Times New Roman"/>
              </w:rPr>
              <w:t>智慧照明系统研发及产业化</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基于物联网的</w:t>
            </w:r>
            <w:r>
              <w:rPr>
                <w:rStyle w:val="104"/>
              </w:rPr>
              <w:t>LED</w:t>
            </w:r>
            <w:r>
              <w:rPr>
                <w:rStyle w:val="103"/>
                <w:rFonts w:hint="default" w:ascii="Times New Roman" w:hAnsi="Times New Roman"/>
              </w:rPr>
              <w:t>智慧照明系统。</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5056</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高新七星区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苏桥开发区节能环保产业园</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建设占地</w:t>
            </w:r>
            <w:r>
              <w:rPr>
                <w:rStyle w:val="104"/>
              </w:rPr>
              <w:t>500</w:t>
            </w:r>
            <w:r>
              <w:rPr>
                <w:rStyle w:val="103"/>
                <w:rFonts w:hint="default" w:ascii="Times New Roman" w:hAnsi="Times New Roman"/>
              </w:rPr>
              <w:t>亩的节能环保产业园，发展高效节能技术装备和高效节能产品。</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广西众新环保科技有限公司年产</w:t>
            </w:r>
            <w:r>
              <w:rPr>
                <w:rStyle w:val="104"/>
              </w:rPr>
              <w:t>3</w:t>
            </w:r>
            <w:r>
              <w:rPr>
                <w:rStyle w:val="103"/>
                <w:rFonts w:hint="default" w:ascii="Times New Roman" w:hAnsi="Times New Roman"/>
              </w:rPr>
              <w:t>万吨生物质成型燃料项目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年产</w:t>
            </w:r>
            <w:r>
              <w:rPr>
                <w:rStyle w:val="104"/>
              </w:rPr>
              <w:t>3</w:t>
            </w:r>
            <w:r>
              <w:rPr>
                <w:rStyle w:val="103"/>
                <w:rFonts w:hint="default" w:ascii="Times New Roman" w:hAnsi="Times New Roman"/>
              </w:rPr>
              <w:t>万吨生物质成型燃料，总用地</w:t>
            </w:r>
            <w:r>
              <w:rPr>
                <w:rStyle w:val="104"/>
              </w:rPr>
              <w:t>15</w:t>
            </w:r>
            <w:r>
              <w:rPr>
                <w:rStyle w:val="103"/>
                <w:rFonts w:hint="default" w:ascii="Times New Roman" w:hAnsi="Times New Roman"/>
              </w:rPr>
              <w:t>亩，第一期计划年产生物质燃料</w:t>
            </w:r>
            <w:r>
              <w:rPr>
                <w:rStyle w:val="104"/>
              </w:rPr>
              <w:t>3</w:t>
            </w:r>
            <w:r>
              <w:rPr>
                <w:rStyle w:val="103"/>
                <w:rFonts w:hint="default" w:ascii="Times New Roman" w:hAnsi="Times New Roman"/>
              </w:rPr>
              <w:t>万吨，项目投资估算</w:t>
            </w:r>
            <w:r>
              <w:rPr>
                <w:rStyle w:val="104"/>
              </w:rPr>
              <w:t>1600</w:t>
            </w:r>
            <w:r>
              <w:rPr>
                <w:rStyle w:val="103"/>
                <w:rFonts w:hint="default" w:ascii="Times New Roman" w:hAnsi="Times New Roman"/>
              </w:rPr>
              <w:t>万元。第二期计划年产生物质燃料</w:t>
            </w:r>
            <w:r>
              <w:rPr>
                <w:rStyle w:val="104"/>
              </w:rPr>
              <w:t>10</w:t>
            </w:r>
            <w:r>
              <w:rPr>
                <w:rStyle w:val="103"/>
                <w:rFonts w:hint="default" w:ascii="Times New Roman" w:hAnsi="Times New Roman"/>
              </w:rPr>
              <w:t>万吨，项目投资估算</w:t>
            </w:r>
            <w:r>
              <w:rPr>
                <w:rStyle w:val="104"/>
              </w:rPr>
              <w:t>1200</w:t>
            </w:r>
            <w:r>
              <w:rPr>
                <w:rStyle w:val="103"/>
                <w:rFonts w:hint="default" w:ascii="Times New Roman" w:hAnsi="Times New Roman"/>
              </w:rPr>
              <w:t>万元。</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Fonts w:hint="eastAsia" w:cs="仿宋"/>
                <w:b/>
                <w:color w:val="000000"/>
                <w:kern w:val="0"/>
                <w:sz w:val="21"/>
                <w:szCs w:val="21"/>
              </w:rPr>
              <w:t>三、生态环保</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157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1381029</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（一）节能</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8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71254</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33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58</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节约型公共机构示范单位、节水型单位创建</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太阳能光伏发电，太阳能光热利用，照明系统</w:t>
            </w:r>
            <w:r>
              <w:rPr>
                <w:rStyle w:val="104"/>
              </w:rPr>
              <w:t>LED</w:t>
            </w:r>
            <w:r>
              <w:rPr>
                <w:rStyle w:val="103"/>
                <w:rFonts w:hint="default" w:ascii="Times New Roman" w:hAnsi="Times New Roman"/>
              </w:rPr>
              <w:t>改造，能源资源分户、分区、分项计量，空调改造，变频技术改造、能源审计，水平衡测试，变压器三相平衡测试，建筑围护结构改造，节水器具改造，高效喷灌技术改造，铺设透水地面，建设新能源汽车充电桩，餐厨垃圾资源化处理，建设污水处理系统等。照明系统节能改造年可节约电量</w:t>
            </w:r>
            <w:r>
              <w:rPr>
                <w:rStyle w:val="104"/>
              </w:rPr>
              <w:t>40%</w:t>
            </w:r>
            <w:r>
              <w:rPr>
                <w:rStyle w:val="103"/>
                <w:rFonts w:hint="default" w:ascii="Times New Roman" w:hAnsi="Times New Roman"/>
              </w:rPr>
              <w:t>以上，节约电费</w:t>
            </w:r>
            <w:r>
              <w:rPr>
                <w:rStyle w:val="104"/>
              </w:rPr>
              <w:t>30%</w:t>
            </w:r>
            <w:r>
              <w:rPr>
                <w:rStyle w:val="103"/>
                <w:rFonts w:hint="default" w:ascii="Times New Roman" w:hAnsi="Times New Roman"/>
              </w:rPr>
              <w:t>以上；年可节约水资源消耗</w:t>
            </w:r>
            <w:r>
              <w:rPr>
                <w:rStyle w:val="104"/>
              </w:rPr>
              <w:t>15%</w:t>
            </w:r>
            <w:r>
              <w:rPr>
                <w:rStyle w:val="103"/>
                <w:rFonts w:hint="default" w:ascii="Times New Roman" w:hAnsi="Times New Roman"/>
              </w:rPr>
              <w:t>以上，节约水费</w:t>
            </w:r>
            <w:r>
              <w:rPr>
                <w:rStyle w:val="104"/>
              </w:rPr>
              <w:t>25</w:t>
            </w:r>
            <w:r>
              <w:rPr>
                <w:rStyle w:val="103"/>
                <w:rFonts w:hint="default" w:ascii="Times New Roman" w:hAnsi="Times New Roman"/>
              </w:rPr>
              <w:t>以上</w:t>
            </w:r>
            <w:r>
              <w:rPr>
                <w:rStyle w:val="104"/>
              </w:rPr>
              <w:t>%</w:t>
            </w:r>
            <w:r>
              <w:rPr>
                <w:rStyle w:val="103"/>
                <w:rFonts w:hint="default" w:ascii="Times New Roman" w:hAnsi="Times New Roman"/>
              </w:rPr>
              <w:t>。</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桂林拔萃环球书院综合节能技术改造项目</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节能灯具</w:t>
            </w:r>
            <w:r>
              <w:rPr>
                <w:rStyle w:val="104"/>
              </w:rPr>
              <w:t>1700</w:t>
            </w:r>
            <w:r>
              <w:rPr>
                <w:rStyle w:val="103"/>
                <w:rFonts w:hint="default" w:ascii="Times New Roman" w:hAnsi="Times New Roman"/>
              </w:rPr>
              <w:t>盏；</w:t>
            </w:r>
            <w:r>
              <w:rPr>
                <w:rStyle w:val="104"/>
              </w:rPr>
              <w:t>2.</w:t>
            </w:r>
            <w:r>
              <w:rPr>
                <w:rStyle w:val="103"/>
                <w:rFonts w:hint="default" w:ascii="Times New Roman" w:hAnsi="Times New Roman"/>
              </w:rPr>
              <w:t>节能电视</w:t>
            </w:r>
            <w:r>
              <w:rPr>
                <w:rStyle w:val="104"/>
              </w:rPr>
              <w:t>40</w:t>
            </w:r>
            <w:r>
              <w:rPr>
                <w:rStyle w:val="103"/>
                <w:rFonts w:hint="default" w:ascii="Times New Roman" w:hAnsi="Times New Roman"/>
              </w:rPr>
              <w:t>台组；</w:t>
            </w:r>
            <w:r>
              <w:rPr>
                <w:rStyle w:val="104"/>
              </w:rPr>
              <w:t>3.</w:t>
            </w:r>
            <w:r>
              <w:rPr>
                <w:rStyle w:val="103"/>
                <w:rFonts w:hint="default" w:ascii="Times New Roman" w:hAnsi="Times New Roman"/>
              </w:rPr>
              <w:t>节能炊具一组；</w:t>
            </w:r>
            <w:r>
              <w:rPr>
                <w:rStyle w:val="104"/>
              </w:rPr>
              <w:t>4.</w:t>
            </w:r>
            <w:r>
              <w:rPr>
                <w:rStyle w:val="103"/>
                <w:rFonts w:hint="default" w:ascii="Times New Roman" w:hAnsi="Times New Roman"/>
              </w:rPr>
              <w:t>室内热水节能系统一套；</w:t>
            </w:r>
            <w:r>
              <w:rPr>
                <w:rStyle w:val="104"/>
              </w:rPr>
              <w:t>5.</w:t>
            </w:r>
            <w:r>
              <w:rPr>
                <w:rStyle w:val="103"/>
                <w:rFonts w:hint="default" w:ascii="Times New Roman" w:hAnsi="Times New Roman"/>
              </w:rPr>
              <w:t>室内节能给水系统一套；</w:t>
            </w:r>
            <w:r>
              <w:rPr>
                <w:rStyle w:val="104"/>
              </w:rPr>
              <w:t>6.</w:t>
            </w:r>
            <w:r>
              <w:rPr>
                <w:rStyle w:val="103"/>
                <w:rFonts w:hint="default" w:ascii="Times New Roman" w:hAnsi="Times New Roman"/>
              </w:rPr>
              <w:t>环保推拉无尘白板；</w:t>
            </w:r>
            <w:r>
              <w:rPr>
                <w:rStyle w:val="104"/>
              </w:rPr>
              <w:t>7.</w:t>
            </w:r>
            <w:r>
              <w:rPr>
                <w:rStyle w:val="103"/>
                <w:rFonts w:hint="default" w:ascii="Times New Roman" w:hAnsi="Times New Roman"/>
              </w:rPr>
              <w:t>美的节能空调</w:t>
            </w:r>
            <w:r>
              <w:rPr>
                <w:rStyle w:val="104"/>
              </w:rPr>
              <w:t>62</w:t>
            </w:r>
            <w:r>
              <w:rPr>
                <w:rStyle w:val="103"/>
                <w:rFonts w:hint="default" w:ascii="Times New Roman" w:hAnsi="Times New Roman"/>
              </w:rPr>
              <w:t>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兴安县松平铁合金有限责任公司</w:t>
            </w:r>
            <w:r>
              <w:rPr>
                <w:rStyle w:val="104"/>
              </w:rPr>
              <w:t>25000KVA</w:t>
            </w:r>
            <w:r>
              <w:rPr>
                <w:rStyle w:val="103"/>
                <w:rFonts w:hint="default" w:ascii="Times New Roman" w:hAnsi="Times New Roman"/>
              </w:rPr>
              <w:t>矿热炉电力滤波及无功补偿节能技改项目</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在</w:t>
            </w:r>
            <w:r>
              <w:rPr>
                <w:rStyle w:val="104"/>
              </w:rPr>
              <w:t>25500KVA</w:t>
            </w:r>
            <w:r>
              <w:rPr>
                <w:rStyle w:val="103"/>
                <w:rFonts w:hint="default" w:ascii="Times New Roman" w:hAnsi="Times New Roman"/>
              </w:rPr>
              <w:t>矿热炉内安装容量为</w:t>
            </w:r>
            <w:r>
              <w:rPr>
                <w:rStyle w:val="104"/>
              </w:rPr>
              <w:t>14000kvar</w:t>
            </w:r>
            <w:r>
              <w:rPr>
                <w:rStyle w:val="103"/>
                <w:rFonts w:hint="default" w:ascii="Times New Roman" w:hAnsi="Times New Roman"/>
              </w:rPr>
              <w:t>无功补偿电容器、额定频率为</w:t>
            </w:r>
            <w:r>
              <w:rPr>
                <w:rStyle w:val="104"/>
              </w:rPr>
              <w:t>50Hz</w:t>
            </w:r>
            <w:r>
              <w:rPr>
                <w:rStyle w:val="103"/>
                <w:rFonts w:hint="default" w:ascii="Times New Roman" w:hAnsi="Times New Roman"/>
              </w:rPr>
              <w:t>的电抗器及配套的滤波和无功补偿装置；</w:t>
            </w:r>
            <w:r>
              <w:rPr>
                <w:rStyle w:val="104"/>
              </w:rPr>
              <w:t>2.</w:t>
            </w:r>
            <w:r>
              <w:rPr>
                <w:rStyle w:val="103"/>
                <w:rFonts w:hint="default" w:ascii="Times New Roman" w:hAnsi="Times New Roman"/>
              </w:rPr>
              <w:t>工艺采取高铝渣型低渣比工艺制度；</w:t>
            </w:r>
            <w:r>
              <w:rPr>
                <w:rStyle w:val="104"/>
              </w:rPr>
              <w:t>3.</w:t>
            </w:r>
            <w:r>
              <w:rPr>
                <w:rStyle w:val="103"/>
                <w:rFonts w:hint="default" w:ascii="Times New Roman" w:hAnsi="Times New Roman"/>
              </w:rPr>
              <w:t>优化矿热炉液压自动升降系统。不新增产能规模，仍然维持原有年产</w:t>
            </w:r>
            <w:r>
              <w:rPr>
                <w:rStyle w:val="104"/>
              </w:rPr>
              <w:t>7</w:t>
            </w:r>
            <w:r>
              <w:rPr>
                <w:rStyle w:val="103"/>
                <w:rFonts w:hint="default" w:ascii="Times New Roman" w:hAnsi="Times New Roman"/>
              </w:rPr>
              <w:t>万吨硅锰铁合金产能。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08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灌阳县华兴冶炼有限公司能量系统优化工程技改项目</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对矿热炉进行节电技改，在每个电极安装一个集电环，加大电流的过流面积；</w:t>
            </w:r>
            <w:r>
              <w:rPr>
                <w:rStyle w:val="104"/>
              </w:rPr>
              <w:t>2.</w:t>
            </w:r>
            <w:r>
              <w:rPr>
                <w:rStyle w:val="103"/>
                <w:rFonts w:hint="default" w:ascii="Times New Roman" w:hAnsi="Times New Roman"/>
              </w:rPr>
              <w:t>通过配置开堵眼机，实现开炉机械操作；增配电容对全厂中低压配电实行集中无功补偿；</w:t>
            </w:r>
            <w:r>
              <w:rPr>
                <w:rStyle w:val="104"/>
              </w:rPr>
              <w:t>3.</w:t>
            </w:r>
            <w:r>
              <w:rPr>
                <w:rStyle w:val="103"/>
                <w:rFonts w:hint="default" w:ascii="Times New Roman" w:hAnsi="Times New Roman"/>
              </w:rPr>
              <w:t>通过新建焦炭防雨棚可防止焦炭被雨淋变质等，同时增加配套设施和辅助工程的建设。项目建成投产后，年可节约标准煤</w:t>
            </w:r>
            <w:r>
              <w:rPr>
                <w:rStyle w:val="104"/>
              </w:rPr>
              <w:t>2310.66</w:t>
            </w:r>
            <w:r>
              <w:rPr>
                <w:rStyle w:val="103"/>
                <w:rFonts w:hint="default" w:ascii="Times New Roman" w:hAnsi="Times New Roman"/>
              </w:rPr>
              <w:t>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554</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灌阳贵达有色金属有限公司综合化技改项目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购置先进生产设备，对现有生产设备进行升级，提高产品品质，降低能耗。</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灌阳县冶炼企业提质上档技改项目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项目占地</w:t>
            </w:r>
            <w:r>
              <w:rPr>
                <w:rStyle w:val="104"/>
              </w:rPr>
              <w:t>200</w:t>
            </w:r>
            <w:r>
              <w:rPr>
                <w:rStyle w:val="103"/>
                <w:rFonts w:hint="default" w:ascii="Times New Roman" w:hAnsi="Times New Roman"/>
              </w:rPr>
              <w:t>亩，技改成</w:t>
            </w:r>
            <w:r>
              <w:rPr>
                <w:rStyle w:val="104"/>
              </w:rPr>
              <w:t>25000KVA</w:t>
            </w:r>
            <w:r>
              <w:rPr>
                <w:rStyle w:val="103"/>
                <w:rFonts w:hint="default" w:ascii="Times New Roman" w:hAnsi="Times New Roman"/>
              </w:rPr>
              <w:t>半封闭锰硅合金矿热电炉，用于生产锰硅合金。</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31600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桂林全龙铁合金有限公司能量系统优化工程技改项目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节电技术技改，安装集电环，新建降压站，安装无功补偿电容器等设施。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荔浦县燃煤锅炉生物质燃料改造</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燃煤锅炉生物质燃料改造</w:t>
            </w:r>
            <w:r>
              <w:rPr>
                <w:rStyle w:val="104"/>
              </w:rPr>
              <w:t>30</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（二）环境综合治理</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29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190828</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66</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桂林市规模养殖场粪污处理建设项目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在漓江流域、优势养殖区域内支持</w:t>
            </w:r>
            <w:r>
              <w:rPr>
                <w:rStyle w:val="104"/>
              </w:rPr>
              <w:t>1000</w:t>
            </w:r>
            <w:r>
              <w:rPr>
                <w:rStyle w:val="103"/>
                <w:rFonts w:hint="default" w:ascii="Times New Roman" w:hAnsi="Times New Roman"/>
              </w:rPr>
              <w:t>家重点猪、牛、禽规模养殖场进行畜禽粪污处理设施改造。</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67</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桂林市病死畜禽无害化处理体系建设项目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在桂林五城区和</w:t>
            </w:r>
            <w:r>
              <w:rPr>
                <w:rStyle w:val="104"/>
              </w:rPr>
              <w:t>12</w:t>
            </w:r>
            <w:r>
              <w:rPr>
                <w:rStyle w:val="103"/>
                <w:rFonts w:hint="default" w:ascii="Times New Roman" w:hAnsi="Times New Roman"/>
              </w:rPr>
              <w:t>县分别建设集中处理病死畜禽化制场</w:t>
            </w:r>
            <w:r>
              <w:rPr>
                <w:rStyle w:val="104"/>
              </w:rPr>
              <w:t>13</w:t>
            </w:r>
            <w:r>
              <w:rPr>
                <w:rStyle w:val="103"/>
                <w:rFonts w:hint="default" w:ascii="Times New Roman" w:hAnsi="Times New Roman"/>
              </w:rPr>
              <w:t>个、病死畜禽收集运输链、各规模场病死畜禽闭封存放点等。</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15000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80"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68</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桂林市水生态文明城市建设</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Fonts w:hint="eastAsia" w:cs="仿宋"/>
                <w:color w:val="000000"/>
                <w:kern w:val="0"/>
                <w:sz w:val="21"/>
                <w:szCs w:val="21"/>
              </w:rPr>
              <w:t>开展城市内河污染治理、污染水体修复；进行城市绿地、河岸带湿地和河岸风光带建设及生态景观改造，湿地公园、水利风景区和滨水区生态建设；生物多样性和生物栖息地保护与建设；水生态监测体系建设；水文化保护与传承，水生态文明宣传教育。</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12000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临桂区黄山瑶族乡围岭村委会环境保护和改善</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7</w:t>
            </w:r>
            <w:r>
              <w:rPr>
                <w:rStyle w:val="103"/>
                <w:rFonts w:hint="default" w:ascii="Times New Roman" w:hAnsi="Times New Roman"/>
              </w:rPr>
              <w:t>个公共卫生厕所、新建</w:t>
            </w:r>
            <w:r>
              <w:rPr>
                <w:rStyle w:val="104"/>
              </w:rPr>
              <w:t>4</w:t>
            </w:r>
            <w:r>
              <w:rPr>
                <w:rStyle w:val="103"/>
                <w:rFonts w:hint="default" w:ascii="Times New Roman" w:hAnsi="Times New Roman"/>
              </w:rPr>
              <w:t>处污水处理、新建</w:t>
            </w:r>
            <w:r>
              <w:rPr>
                <w:rStyle w:val="104"/>
              </w:rPr>
              <w:t>4</w:t>
            </w:r>
            <w:r>
              <w:rPr>
                <w:rStyle w:val="103"/>
                <w:rFonts w:hint="default" w:ascii="Times New Roman" w:hAnsi="Times New Roman"/>
              </w:rPr>
              <w:t>处垃圾集中收集点、新建</w:t>
            </w:r>
            <w:r>
              <w:rPr>
                <w:rStyle w:val="104"/>
              </w:rPr>
              <w:t>35km</w:t>
            </w:r>
            <w:r>
              <w:rPr>
                <w:rStyle w:val="103"/>
                <w:rFonts w:hint="default" w:ascii="Times New Roman" w:hAnsi="Times New Roman"/>
              </w:rPr>
              <w:t>两旁绿化、新建</w:t>
            </w:r>
            <w:r>
              <w:rPr>
                <w:rStyle w:val="104"/>
              </w:rPr>
              <w:t>4</w:t>
            </w:r>
            <w:r>
              <w:rPr>
                <w:rStyle w:val="103"/>
                <w:rFonts w:hint="default" w:ascii="Times New Roman" w:hAnsi="Times New Roman"/>
              </w:rPr>
              <w:t>处旅游村停车场。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临桂区冲口生活垃圾填埋场填埋垃圾回收利用项目</w:t>
            </w:r>
          </w:p>
        </w:tc>
        <w:tc>
          <w:tcPr>
            <w:tcW w:w="6520" w:type="dxa"/>
            <w:shd w:val="clear" w:color="auto" w:fill="auto"/>
            <w:vAlign w:val="center"/>
          </w:tcPr>
          <w:p>
            <w:pPr>
              <w:widowControl/>
              <w:spacing w:line="276" w:lineRule="auto"/>
              <w:ind w:firstLine="0" w:firstLineChars="0"/>
              <w:textAlignment w:val="center"/>
              <w:rPr>
                <w:rStyle w:val="103"/>
                <w:rFonts w:hint="default" w:ascii="Times New Roman" w:hAnsi="Times New Roman"/>
              </w:rPr>
            </w:pPr>
            <w:r>
              <w:rPr>
                <w:rStyle w:val="103"/>
                <w:rFonts w:hint="default" w:ascii="Times New Roman" w:hAnsi="Times New Roman"/>
              </w:rPr>
              <w:t>生活垃圾无害化处理，日处理2000m</w:t>
            </w:r>
            <w:r>
              <w:rPr>
                <w:rStyle w:val="103"/>
                <w:rFonts w:hint="default" w:ascii="Times New Roman" w:hAnsi="Times New Roman"/>
                <w:vertAlign w:val="superscript"/>
              </w:rPr>
              <w:t>3</w:t>
            </w:r>
            <w:r>
              <w:rPr>
                <w:rStyle w:val="103"/>
                <w:rFonts w:hint="default" w:ascii="Times New Roman" w:hAnsi="Times New Roman"/>
              </w:rPr>
              <w:t>，有害气体分解、开挖、破碎、分筛、可燃物处理，固体废弃物处理、渗滤液处理。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临桂区山口生活垃圾填埋场填埋垃圾回收利用项目</w:t>
            </w:r>
          </w:p>
        </w:tc>
        <w:tc>
          <w:tcPr>
            <w:tcW w:w="6520" w:type="dxa"/>
            <w:shd w:val="clear" w:color="auto" w:fill="auto"/>
            <w:vAlign w:val="center"/>
          </w:tcPr>
          <w:p>
            <w:pPr>
              <w:widowControl/>
              <w:spacing w:line="276" w:lineRule="auto"/>
              <w:ind w:firstLine="0" w:firstLineChars="0"/>
              <w:textAlignment w:val="center"/>
              <w:rPr>
                <w:rStyle w:val="103"/>
                <w:rFonts w:hint="default" w:ascii="Times New Roman" w:hAnsi="Times New Roman"/>
              </w:rPr>
            </w:pPr>
            <w:r>
              <w:rPr>
                <w:rStyle w:val="103"/>
                <w:rFonts w:hint="default" w:ascii="Times New Roman" w:hAnsi="Times New Roman"/>
              </w:rPr>
              <w:t>生活垃圾无害化处理，日处理2000m</w:t>
            </w:r>
            <w:r>
              <w:rPr>
                <w:rStyle w:val="103"/>
                <w:rFonts w:hint="default" w:ascii="Times New Roman" w:hAnsi="Times New Roman"/>
                <w:vertAlign w:val="superscript"/>
              </w:rPr>
              <w:t>3</w:t>
            </w:r>
            <w:r>
              <w:rPr>
                <w:rStyle w:val="103"/>
                <w:rFonts w:hint="default" w:ascii="Times New Roman" w:hAnsi="Times New Roman"/>
              </w:rPr>
              <w:t>，有害气体分解、开挖、破碎、分筛、可燃物处理，固体废弃物处理、渗滤液处理。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甲山垃圾转运站升级改造项目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转运约1500吨生活垃圾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恭城县2016—2018年石漠化综合治理</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投资1650万元，主要用于沟道整治、田间道路等小型水利水保项目；棚圈建设等畜牧措施。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74</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恭城县海洋山、银殿山水源林地区提高水土涵养能力建设与开发项目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Fonts w:hint="eastAsia" w:cs="仿宋"/>
                <w:color w:val="000000"/>
                <w:kern w:val="0"/>
                <w:sz w:val="21"/>
                <w:szCs w:val="21"/>
              </w:rPr>
              <w:t>封禁措施、种植水保林、建截洪沟、建防护带、建林间机耕道、退耕还林，综合治理330公顷。</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35700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恭城县蓝洞库区花岗岩地貌水土流失综合治理项目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治理面积500公顷。</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恭城县农业面源污染综合防治项目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30万亩面源污染综合防治：配置太阳能杀虫灯</w:t>
            </w:r>
            <w:r>
              <w:rPr>
                <w:rStyle w:val="104"/>
              </w:rPr>
              <w:t>6000</w:t>
            </w:r>
            <w:r>
              <w:rPr>
                <w:rStyle w:val="103"/>
                <w:rFonts w:hint="default" w:ascii="Times New Roman" w:hAnsi="Times New Roman"/>
              </w:rPr>
              <w:t>盏，农业废弃物收集池</w:t>
            </w:r>
            <w:r>
              <w:rPr>
                <w:rStyle w:val="104"/>
              </w:rPr>
              <w:t>6000</w:t>
            </w:r>
            <w:r>
              <w:rPr>
                <w:rStyle w:val="103"/>
                <w:rFonts w:hint="default" w:ascii="Times New Roman" w:hAnsi="Times New Roman"/>
              </w:rPr>
              <w:t>个，堆沤池</w:t>
            </w:r>
            <w:r>
              <w:rPr>
                <w:rStyle w:val="104"/>
              </w:rPr>
              <w:t>15000</w:t>
            </w:r>
            <w:r>
              <w:rPr>
                <w:rStyle w:val="103"/>
                <w:rFonts w:hint="default" w:ascii="Times New Roman" w:hAnsi="Times New Roman"/>
              </w:rPr>
              <w:t>个。</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平乐县农村环境综合整治项目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农村生活污水治理、生活垃圾收集处理、饮用水水源地保护、规模畜禽治理。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荔浦县页红砖厂脱硫除尘设施改造</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w:t>
            </w:r>
            <w:r>
              <w:rPr>
                <w:rStyle w:val="104"/>
              </w:rPr>
              <w:t>22</w:t>
            </w:r>
            <w:r>
              <w:rPr>
                <w:rStyle w:val="103"/>
                <w:rFonts w:hint="default" w:ascii="Times New Roman" w:hAnsi="Times New Roman"/>
              </w:rPr>
              <w:t>家砖厂进行脱硫除尘实施改造。</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荔浦县畜禽养殖场废物处理工程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全县规模养殖场（生猪年存栏</w:t>
            </w:r>
            <w:r>
              <w:rPr>
                <w:rStyle w:val="104"/>
              </w:rPr>
              <w:t>100</w:t>
            </w:r>
            <w:r>
              <w:rPr>
                <w:rStyle w:val="103"/>
                <w:rFonts w:hint="default" w:ascii="Times New Roman" w:hAnsi="Times New Roman"/>
              </w:rPr>
              <w:t>头以上）建设废物处理设施。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荔浦县农村环境综合治理技术研究及应用示范</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农村废弃物资资源化、无害化成套处理技术的研发和应用示范。适宜偏远村屯使用的小型环保垃圾焚烧炉的研发及应用推广，示范村</w:t>
            </w:r>
            <w:r>
              <w:rPr>
                <w:rStyle w:val="104"/>
              </w:rPr>
              <w:t>1</w:t>
            </w:r>
            <w:r>
              <w:rPr>
                <w:rStyle w:val="103"/>
                <w:rFonts w:hint="default" w:ascii="Times New Roman" w:hAnsi="Times New Roman"/>
              </w:rPr>
              <w:t>个，推广</w:t>
            </w:r>
            <w:r>
              <w:rPr>
                <w:rStyle w:val="104"/>
              </w:rPr>
              <w:t>5</w:t>
            </w:r>
            <w:r>
              <w:rPr>
                <w:rStyle w:val="103"/>
                <w:rFonts w:hint="default" w:ascii="Times New Roman" w:hAnsi="Times New Roman"/>
              </w:rPr>
              <w:t>个村。</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荔浦县岩溶石漠化地区生态修复技术的开发和集成示范</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岩溶石漠化地区修复技术、抗旱技术、种植技术的探索和综合应用推广。示范区10000亩，推广应用50000亩。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9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荔浦县石漠化综合治理工程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治理辖区石漠化面积40万亩，主要实施封山育林，林草植被保护和建设，草食畜牧业发展，水资源开发与基本农田建设，调整农村产业结构，农村能源建设，道路建设和土地整理等内容</w:t>
            </w:r>
            <w:r>
              <w:rPr>
                <w:rStyle w:val="106"/>
                <w:rFonts w:hint="default" w:ascii="Times New Roman" w:hAnsi="Times New Roman" w:eastAsia="仿宋"/>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荔浦县农业面源污染治理工程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荔浦县农药、化肥、残留在农田中的农用薄膜、农业畜禽粪便污染综合治理工程。</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灵川县</w:t>
            </w:r>
            <w:r>
              <w:rPr>
                <w:rStyle w:val="104"/>
              </w:rPr>
              <w:t>2016-2018</w:t>
            </w:r>
            <w:r>
              <w:rPr>
                <w:rStyle w:val="103"/>
                <w:rFonts w:hint="default" w:ascii="Times New Roman" w:hAnsi="Times New Roman"/>
              </w:rPr>
              <w:t>年石漠化综合治理工程项目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改造灌溉渠道，改扩建机耕路。</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灵川县大境瑶族乡集镇及周边村污水、垃圾处理项目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建设日处理</w:t>
            </w:r>
            <w:r>
              <w:rPr>
                <w:rStyle w:val="104"/>
              </w:rPr>
              <w:t>200</w:t>
            </w:r>
            <w:r>
              <w:rPr>
                <w:rStyle w:val="103"/>
                <w:rFonts w:hint="default" w:ascii="Times New Roman" w:hAnsi="Times New Roman"/>
              </w:rPr>
              <w:t>立方的污水处理厂一座；建设日处理</w:t>
            </w:r>
            <w:r>
              <w:rPr>
                <w:rStyle w:val="104"/>
              </w:rPr>
              <w:t>2</w:t>
            </w:r>
            <w:r>
              <w:rPr>
                <w:rStyle w:val="103"/>
                <w:rFonts w:hint="default" w:ascii="Times New Roman" w:hAnsi="Times New Roman"/>
              </w:rPr>
              <w:t>吨垃圾热裂解项目。</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全州县病死猪无害化处理项目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基础设备</w:t>
            </w:r>
            <w:r>
              <w:rPr>
                <w:rStyle w:val="104"/>
              </w:rPr>
              <w:t>260</w:t>
            </w:r>
            <w:r>
              <w:rPr>
                <w:rStyle w:val="103"/>
                <w:rFonts w:hint="default" w:ascii="Times New Roman" w:hAnsi="Times New Roman"/>
              </w:rPr>
              <w:t>万元、设备购置</w:t>
            </w:r>
            <w:r>
              <w:rPr>
                <w:rStyle w:val="104"/>
              </w:rPr>
              <w:t>170</w:t>
            </w:r>
            <w:r>
              <w:rPr>
                <w:rStyle w:val="103"/>
                <w:rFonts w:hint="default" w:ascii="Times New Roman" w:hAnsi="Times New Roman"/>
              </w:rPr>
              <w:t>万元、其他费用</w:t>
            </w:r>
            <w:r>
              <w:rPr>
                <w:rStyle w:val="104"/>
              </w:rPr>
              <w:t>70</w:t>
            </w:r>
            <w:r>
              <w:rPr>
                <w:rStyle w:val="103"/>
                <w:rFonts w:hint="default" w:ascii="Times New Roman" w:hAnsi="Times New Roman"/>
              </w:rPr>
              <w:t>万元。</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87</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全州县农业循环经济试点县养殖业粪污水处理项目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购铡草机等机械设备</w:t>
            </w:r>
            <w:r>
              <w:rPr>
                <w:rStyle w:val="104"/>
              </w:rPr>
              <w:t>200</w:t>
            </w:r>
            <w:r>
              <w:rPr>
                <w:rStyle w:val="103"/>
                <w:rFonts w:hint="default" w:ascii="Times New Roman" w:hAnsi="Times New Roman"/>
              </w:rPr>
              <w:t>台</w:t>
            </w:r>
            <w:r>
              <w:rPr>
                <w:rStyle w:val="104"/>
              </w:rPr>
              <w:t>100</w:t>
            </w:r>
            <w:r>
              <w:rPr>
                <w:rStyle w:val="103"/>
                <w:rFonts w:hint="default" w:ascii="Times New Roman" w:hAnsi="Times New Roman"/>
              </w:rPr>
              <w:t>万元，建氨化、青贮池等</w:t>
            </w:r>
            <w:r>
              <w:rPr>
                <w:rStyle w:val="104"/>
              </w:rPr>
              <w:t>360</w:t>
            </w:r>
            <w:r>
              <w:rPr>
                <w:rStyle w:val="103"/>
                <w:rFonts w:hint="default" w:ascii="Times New Roman" w:hAnsi="Times New Roman"/>
              </w:rPr>
              <w:t>万元、购塑料膜</w:t>
            </w:r>
            <w:r>
              <w:rPr>
                <w:rStyle w:val="104"/>
              </w:rPr>
              <w:t>20</w:t>
            </w:r>
            <w:r>
              <w:rPr>
                <w:rStyle w:val="103"/>
                <w:rFonts w:hint="default" w:ascii="Times New Roman" w:hAnsi="Times New Roman"/>
              </w:rPr>
              <w:t>万元、购尿素</w:t>
            </w:r>
            <w:r>
              <w:rPr>
                <w:rStyle w:val="104"/>
              </w:rPr>
              <w:t>30</w:t>
            </w:r>
            <w:r>
              <w:rPr>
                <w:rStyle w:val="103"/>
                <w:rFonts w:hint="default" w:ascii="Times New Roman" w:hAnsi="Times New Roman"/>
              </w:rPr>
              <w:t>万元、购发酵菌种</w:t>
            </w:r>
            <w:r>
              <w:rPr>
                <w:rStyle w:val="104"/>
              </w:rPr>
              <w:t>5</w:t>
            </w:r>
            <w:r>
              <w:rPr>
                <w:rStyle w:val="103"/>
                <w:rFonts w:hint="default" w:ascii="Times New Roman" w:hAnsi="Times New Roman"/>
              </w:rPr>
              <w:t>万元。</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515</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88</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广西桂林市兴安县石漠化综合治理工程</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Fonts w:hint="eastAsia" w:cs="仿宋"/>
                <w:color w:val="000000"/>
                <w:kern w:val="0"/>
                <w:sz w:val="21"/>
                <w:szCs w:val="21"/>
              </w:rPr>
              <w:t>人工种草、畜舍修缮，以及农田水利渠道建设，草地及草食</w:t>
            </w:r>
            <w:r>
              <w:rPr>
                <w:rFonts w:hint="eastAsia" w:cs="仿宋"/>
                <w:color w:val="000000"/>
                <w:kern w:val="0"/>
                <w:sz w:val="21"/>
                <w:szCs w:val="21"/>
                <w:lang w:eastAsia="zh-CN"/>
              </w:rPr>
              <w:t>畜牧业</w:t>
            </w:r>
            <w:r>
              <w:rPr>
                <w:rFonts w:hint="eastAsia" w:cs="仿宋"/>
                <w:color w:val="000000"/>
                <w:kern w:val="0"/>
                <w:sz w:val="21"/>
                <w:szCs w:val="21"/>
              </w:rPr>
              <w:t>发展工程、小型水利水保措施工程。</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1800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龙胜县石漠化综合治理项目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石漠化综合治理面积400公顷。</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龙胜县土壤整治项目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预防和治理耕地的环境污染，实施土地修养1万亩，开展测土配方3万亩，提高土地肥力10万亩，保证土地永续和合理使用。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广西桂林市阳朔县地质公园生态修复项目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对葡萄镇复绿、种树项目投资金额300万元。</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永福县土地整治项目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对九乡镇进行土地整治，总面积5万亩。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永福县石漠化治理工程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人工造林、小型水利设施和草地建设。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广西桂林市平乐县2016-2018年岩溶地区石漠化综合治理工程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实施封山育林2200公顷，人工造林30公顷；人工种草15公顷，棚圈建设8000平方米；灌溉渠道55公里等。治理岩溶面积98平方公里，其中治理石漠化面积25平方公里。</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2340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（三）污水处理</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60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484992</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桂林市漓江（城市段）排污综合治理项目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新建管网</w:t>
            </w:r>
            <w:r>
              <w:rPr>
                <w:rStyle w:val="104"/>
              </w:rPr>
              <w:t>42.45km</w:t>
            </w:r>
            <w:r>
              <w:rPr>
                <w:rStyle w:val="103"/>
                <w:rFonts w:hint="default" w:ascii="Times New Roman" w:hAnsi="Times New Roman"/>
              </w:rPr>
              <w:t>，护河堤约</w:t>
            </w:r>
            <w:r>
              <w:rPr>
                <w:rStyle w:val="104"/>
              </w:rPr>
              <w:t>4km</w:t>
            </w:r>
            <w:r>
              <w:rPr>
                <w:rStyle w:val="103"/>
                <w:rFonts w:hint="default" w:ascii="Times New Roman" w:hAnsi="Times New Roman"/>
              </w:rPr>
              <w:t>，泵站</w:t>
            </w:r>
            <w:r>
              <w:rPr>
                <w:rStyle w:val="104"/>
              </w:rPr>
              <w:t>6</w:t>
            </w:r>
            <w:r>
              <w:rPr>
                <w:rStyle w:val="103"/>
                <w:rFonts w:hint="default" w:ascii="Times New Roman" w:hAnsi="Times New Roman"/>
              </w:rPr>
              <w:t>座，临时泵井</w:t>
            </w:r>
            <w:r>
              <w:rPr>
                <w:rStyle w:val="104"/>
              </w:rPr>
              <w:t xml:space="preserve">23 </w:t>
            </w:r>
            <w:r>
              <w:rPr>
                <w:rStyle w:val="103"/>
                <w:rFonts w:hint="default" w:ascii="Times New Roman" w:hAnsi="Times New Roman"/>
              </w:rPr>
              <w:t>座，化粪池</w:t>
            </w:r>
            <w:r>
              <w:rPr>
                <w:rStyle w:val="104"/>
              </w:rPr>
              <w:t>5</w:t>
            </w:r>
            <w:r>
              <w:rPr>
                <w:rStyle w:val="103"/>
                <w:rFonts w:hint="default" w:ascii="Times New Roman" w:hAnsi="Times New Roman"/>
              </w:rPr>
              <w:t>座，清淤河道长度</w:t>
            </w:r>
            <w:r>
              <w:rPr>
                <w:rStyle w:val="104"/>
              </w:rPr>
              <w:t>8.2km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46656</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临桂区五通镇污水处理厂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厂房建设，污水管网铺设。建设日处理污水量为</w:t>
            </w:r>
            <w:r>
              <w:rPr>
                <w:rStyle w:val="104"/>
              </w:rPr>
              <w:t>1000</w:t>
            </w:r>
            <w:r>
              <w:rPr>
                <w:rStyle w:val="103"/>
                <w:rFonts w:hint="default" w:ascii="Times New Roman" w:hAnsi="Times New Roman"/>
              </w:rPr>
              <w:t>吨的污水处理厂。</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临桂区中庸镇集镇污水处理设施建设项目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建设污水处理厂区和污水收集管网建设。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临桂区四塘镇污水处理厂建设项目</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日处理</w:t>
            </w:r>
            <w:r>
              <w:rPr>
                <w:rStyle w:val="104"/>
              </w:rPr>
              <w:t>1000</w:t>
            </w:r>
            <w:r>
              <w:rPr>
                <w:rStyle w:val="103"/>
                <w:rFonts w:hint="default" w:ascii="Times New Roman" w:hAnsi="Times New Roman"/>
              </w:rPr>
              <w:t>吨的污水处理厂；</w:t>
            </w:r>
            <w:r>
              <w:rPr>
                <w:rStyle w:val="104"/>
              </w:rPr>
              <w:t>2.</w:t>
            </w:r>
            <w:r>
              <w:rPr>
                <w:rStyle w:val="103"/>
                <w:rFonts w:hint="default" w:ascii="Times New Roman" w:hAnsi="Times New Roman"/>
              </w:rPr>
              <w:t>铺设污水收集主管</w:t>
            </w:r>
            <w:r>
              <w:rPr>
                <w:rStyle w:val="104"/>
              </w:rPr>
              <w:t>1200m</w:t>
            </w:r>
            <w:r>
              <w:rPr>
                <w:rStyle w:val="103"/>
                <w:rFonts w:hint="default" w:ascii="Times New Roman" w:hAnsi="Times New Roman"/>
              </w:rPr>
              <w:t>，支管</w:t>
            </w:r>
            <w:r>
              <w:rPr>
                <w:rStyle w:val="104"/>
              </w:rPr>
              <w:t>5000m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临桂区宝山工业园污水处理厂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建设污水处理能力为</w:t>
            </w:r>
            <w:r>
              <w:rPr>
                <w:rStyle w:val="104"/>
              </w:rPr>
              <w:t>4</w:t>
            </w:r>
            <w:r>
              <w:rPr>
                <w:rStyle w:val="103"/>
                <w:rFonts w:hint="default" w:ascii="Times New Roman" w:hAnsi="Times New Roman"/>
              </w:rPr>
              <w:t>万吨</w:t>
            </w:r>
            <w:r>
              <w:rPr>
                <w:rStyle w:val="104"/>
              </w:rPr>
              <w:t>/</w:t>
            </w:r>
            <w:r>
              <w:rPr>
                <w:rStyle w:val="103"/>
                <w:rFonts w:hint="default" w:ascii="Times New Roman" w:hAnsi="Times New Roman"/>
              </w:rPr>
              <w:t>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新建日处理污水</w:t>
            </w:r>
            <w:r>
              <w:rPr>
                <w:rStyle w:val="104"/>
              </w:rPr>
              <w:t>500</w:t>
            </w:r>
            <w:r>
              <w:rPr>
                <w:rStyle w:val="103"/>
                <w:rFonts w:hint="default" w:ascii="Times New Roman" w:hAnsi="Times New Roman"/>
              </w:rPr>
              <w:t>吨的污水处理厂一座，敷设污水管网</w:t>
            </w:r>
            <w:r>
              <w:rPr>
                <w:rStyle w:val="104"/>
              </w:rPr>
              <w:t>5000m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临桂区临桂镇区污水处理工程</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临桂镇区污水管网建设</w:t>
            </w:r>
            <w:r>
              <w:rPr>
                <w:rStyle w:val="104"/>
              </w:rPr>
              <w:t>12km</w:t>
            </w:r>
            <w:r>
              <w:rPr>
                <w:rStyle w:val="103"/>
                <w:rFonts w:hint="default" w:ascii="Times New Roman" w:hAnsi="Times New Roman"/>
              </w:rPr>
              <w:t>；</w:t>
            </w:r>
            <w:r>
              <w:rPr>
                <w:rStyle w:val="104"/>
              </w:rPr>
              <w:t>2.</w:t>
            </w:r>
            <w:r>
              <w:rPr>
                <w:rStyle w:val="103"/>
                <w:rFonts w:hint="default" w:ascii="Times New Roman" w:hAnsi="Times New Roman"/>
              </w:rPr>
              <w:t>污水处理厂各项污水处理设施建设。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临桂区南边山镇集镇排污工程项目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排污管网铺设、新建污水处理厂、集镇区域排污。</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中水工程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建设内容包括中水再生水厂和中水管网。再生水厂占地约</w:t>
            </w:r>
            <w:r>
              <w:rPr>
                <w:rStyle w:val="104"/>
              </w:rPr>
              <w:t>10</w:t>
            </w:r>
            <w:r>
              <w:rPr>
                <w:rStyle w:val="103"/>
                <w:rFonts w:hint="default" w:ascii="Times New Roman" w:hAnsi="Times New Roman"/>
              </w:rPr>
              <w:t>亩，中水管网总长约</w:t>
            </w:r>
            <w:r>
              <w:rPr>
                <w:rStyle w:val="104"/>
              </w:rPr>
              <w:t>25.71km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11060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临桂区污水管网建设工程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埋设总长</w:t>
            </w:r>
            <w:r>
              <w:rPr>
                <w:rStyle w:val="104"/>
              </w:rPr>
              <w:t>2500m</w:t>
            </w:r>
            <w:r>
              <w:rPr>
                <w:rStyle w:val="103"/>
                <w:rFonts w:hint="default" w:ascii="Times New Roman" w:hAnsi="Times New Roman"/>
              </w:rPr>
              <w:t>，Φ</w:t>
            </w:r>
            <w:r>
              <w:rPr>
                <w:rStyle w:val="104"/>
              </w:rPr>
              <w:t>400-</w:t>
            </w:r>
            <w:r>
              <w:rPr>
                <w:rStyle w:val="103"/>
                <w:rFonts w:hint="default" w:ascii="Times New Roman" w:hAnsi="Times New Roman"/>
              </w:rPr>
              <w:t>Φ</w:t>
            </w:r>
            <w:r>
              <w:rPr>
                <w:rStyle w:val="104"/>
              </w:rPr>
              <w:t>600</w:t>
            </w:r>
            <w:r>
              <w:rPr>
                <w:rStyle w:val="103"/>
                <w:rFonts w:hint="default" w:ascii="Times New Roman" w:hAnsi="Times New Roman"/>
              </w:rPr>
              <w:t>混泥土承插管及波纹管。</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1630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临桂区会仙镇污水处理工程</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新建污水处理厂近期</w:t>
            </w:r>
            <w:r>
              <w:rPr>
                <w:rStyle w:val="104"/>
              </w:rPr>
              <w:t>1000</w:t>
            </w:r>
            <w:r>
              <w:rPr>
                <w:rStyle w:val="103"/>
                <w:rFonts w:hint="default" w:ascii="Times New Roman" w:hAnsi="Times New Roman"/>
              </w:rPr>
              <w:t xml:space="preserve"> m</w:t>
            </w:r>
            <w:r>
              <w:rPr>
                <w:rStyle w:val="103"/>
                <w:rFonts w:hint="default" w:ascii="Times New Roman" w:hAnsi="Times New Roman"/>
                <w:vertAlign w:val="superscript"/>
              </w:rPr>
              <w:t>3</w:t>
            </w:r>
            <w:r>
              <w:rPr>
                <w:rStyle w:val="104"/>
              </w:rPr>
              <w:t>/d</w:t>
            </w:r>
            <w:r>
              <w:rPr>
                <w:rStyle w:val="103"/>
                <w:rFonts w:hint="default" w:ascii="Times New Roman" w:hAnsi="Times New Roman"/>
              </w:rPr>
              <w:t>（</w:t>
            </w:r>
            <w:r>
              <w:rPr>
                <w:rStyle w:val="104"/>
              </w:rPr>
              <w:t>2020</w:t>
            </w:r>
            <w:r>
              <w:rPr>
                <w:rStyle w:val="103"/>
                <w:rFonts w:hint="default" w:ascii="Times New Roman" w:hAnsi="Times New Roman"/>
              </w:rPr>
              <w:t>年）、远期</w:t>
            </w:r>
            <w:r>
              <w:rPr>
                <w:rStyle w:val="104"/>
              </w:rPr>
              <w:t>2000</w:t>
            </w:r>
            <w:r>
              <w:rPr>
                <w:rStyle w:val="103"/>
                <w:rFonts w:hint="default" w:ascii="Times New Roman" w:hAnsi="Times New Roman"/>
              </w:rPr>
              <w:t xml:space="preserve"> m</w:t>
            </w:r>
            <w:r>
              <w:rPr>
                <w:rStyle w:val="103"/>
                <w:rFonts w:hint="default" w:ascii="Times New Roman" w:hAnsi="Times New Roman"/>
                <w:vertAlign w:val="superscript"/>
              </w:rPr>
              <w:t>3</w:t>
            </w:r>
            <w:r>
              <w:rPr>
                <w:rStyle w:val="104"/>
              </w:rPr>
              <w:t>/d</w:t>
            </w:r>
            <w:r>
              <w:rPr>
                <w:rStyle w:val="103"/>
                <w:rFonts w:hint="default" w:ascii="Times New Roman" w:hAnsi="Times New Roman"/>
              </w:rPr>
              <w:t>（</w:t>
            </w:r>
            <w:r>
              <w:rPr>
                <w:rStyle w:val="104"/>
              </w:rPr>
              <w:t>2030</w:t>
            </w:r>
            <w:r>
              <w:rPr>
                <w:rStyle w:val="103"/>
                <w:rFonts w:hint="default" w:ascii="Times New Roman" w:hAnsi="Times New Roman"/>
              </w:rPr>
              <w:t>年）；</w:t>
            </w:r>
            <w:r>
              <w:rPr>
                <w:rStyle w:val="104"/>
              </w:rPr>
              <w:t>2.</w:t>
            </w:r>
            <w:r>
              <w:rPr>
                <w:rStyle w:val="103"/>
                <w:rFonts w:hint="default" w:ascii="Times New Roman" w:hAnsi="Times New Roman"/>
              </w:rPr>
              <w:t>配套铺设污水管</w:t>
            </w:r>
            <w:r>
              <w:rPr>
                <w:rStyle w:val="104"/>
              </w:rPr>
              <w:t>DN300</w:t>
            </w:r>
            <w:r>
              <w:rPr>
                <w:rStyle w:val="103"/>
                <w:rFonts w:hint="default" w:ascii="Times New Roman" w:hAnsi="Times New Roman"/>
              </w:rPr>
              <w:t>－</w:t>
            </w:r>
            <w:r>
              <w:rPr>
                <w:rStyle w:val="104"/>
              </w:rPr>
              <w:t>DN400</w:t>
            </w:r>
            <w:r>
              <w:rPr>
                <w:rStyle w:val="103"/>
                <w:rFonts w:hint="default" w:ascii="Times New Roman" w:hAnsi="Times New Roman"/>
              </w:rPr>
              <w:t>×</w:t>
            </w:r>
            <w:r>
              <w:rPr>
                <w:rStyle w:val="104"/>
              </w:rPr>
              <w:t>7881</w:t>
            </w:r>
            <w:r>
              <w:rPr>
                <w:rStyle w:val="103"/>
                <w:rFonts w:hint="default" w:ascii="Times New Roman" w:hAnsi="Times New Roman"/>
              </w:rPr>
              <w:t>米；</w:t>
            </w:r>
            <w:r>
              <w:rPr>
                <w:rStyle w:val="104"/>
              </w:rPr>
              <w:t>3.</w:t>
            </w:r>
            <w:r>
              <w:rPr>
                <w:rStyle w:val="103"/>
                <w:rFonts w:hint="default" w:ascii="Times New Roman" w:hAnsi="Times New Roman"/>
              </w:rPr>
              <w:t>维修进场道路</w:t>
            </w:r>
            <w:r>
              <w:rPr>
                <w:rStyle w:val="104"/>
              </w:rPr>
              <w:t>400m</w:t>
            </w:r>
            <w:r>
              <w:rPr>
                <w:rStyle w:val="103"/>
                <w:rFonts w:hint="default" w:ascii="Times New Roman" w:hAnsi="Times New Roman"/>
              </w:rPr>
              <w:t>（长）×</w:t>
            </w:r>
            <w:r>
              <w:rPr>
                <w:rStyle w:val="104"/>
              </w:rPr>
              <w:t>4.5m</w:t>
            </w:r>
            <w:r>
              <w:rPr>
                <w:rStyle w:val="103"/>
                <w:rFonts w:hint="default" w:ascii="Times New Roman" w:hAnsi="Times New Roman"/>
              </w:rPr>
              <w:t>（宽）</w:t>
            </w:r>
            <w:r>
              <w:rPr>
                <w:rStyle w:val="104"/>
              </w:rPr>
              <w:t>=1800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2700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临桂区南边山镇污水处理工程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600m</w:t>
            </w:r>
            <w:r>
              <w:rPr>
                <w:rStyle w:val="105"/>
              </w:rPr>
              <w:t>3</w:t>
            </w:r>
            <w:r>
              <w:rPr>
                <w:rStyle w:val="104"/>
              </w:rPr>
              <w:t>/d</w:t>
            </w:r>
            <w:r>
              <w:rPr>
                <w:rStyle w:val="103"/>
                <w:rFonts w:hint="default" w:ascii="Times New Roman" w:hAnsi="Times New Roman"/>
              </w:rPr>
              <w:t>污水处理厂</w:t>
            </w:r>
            <w:r>
              <w:rPr>
                <w:rStyle w:val="104"/>
              </w:rPr>
              <w:t>1</w:t>
            </w:r>
            <w:r>
              <w:rPr>
                <w:rStyle w:val="103"/>
                <w:rFonts w:hint="default" w:ascii="Times New Roman" w:hAnsi="Times New Roman"/>
              </w:rPr>
              <w:t>座，建设</w:t>
            </w:r>
            <w:r>
              <w:rPr>
                <w:rStyle w:val="104"/>
              </w:rPr>
              <w:t>DN300-400</w:t>
            </w:r>
            <w:r>
              <w:rPr>
                <w:rStyle w:val="103"/>
                <w:rFonts w:hint="default" w:ascii="Times New Roman" w:hAnsi="Times New Roman"/>
              </w:rPr>
              <w:t>污水管网</w:t>
            </w:r>
            <w:r>
              <w:rPr>
                <w:rStyle w:val="104"/>
              </w:rPr>
              <w:t>4187m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临桂区四塘镇污水处理工程</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1.</w:t>
            </w:r>
            <w:r>
              <w:rPr>
                <w:rStyle w:val="103"/>
                <w:rFonts w:hint="default" w:ascii="Times New Roman" w:hAnsi="Times New Roman"/>
              </w:rPr>
              <w:t>新建近期（</w:t>
            </w:r>
            <w:r>
              <w:rPr>
                <w:rStyle w:val="104"/>
              </w:rPr>
              <w:t>2020</w:t>
            </w:r>
            <w:r>
              <w:rPr>
                <w:rStyle w:val="103"/>
                <w:rFonts w:hint="default" w:ascii="Times New Roman" w:hAnsi="Times New Roman"/>
              </w:rPr>
              <w:t>年）规模为</w:t>
            </w:r>
            <w:r>
              <w:rPr>
                <w:rStyle w:val="104"/>
              </w:rPr>
              <w:t>1000m</w:t>
            </w:r>
            <w:r>
              <w:rPr>
                <w:rStyle w:val="105"/>
              </w:rPr>
              <w:t>3</w:t>
            </w:r>
            <w:r>
              <w:rPr>
                <w:rStyle w:val="104"/>
              </w:rPr>
              <w:t>/d</w:t>
            </w:r>
            <w:r>
              <w:rPr>
                <w:rStyle w:val="103"/>
                <w:rFonts w:hint="default" w:ascii="Times New Roman" w:hAnsi="Times New Roman"/>
              </w:rPr>
              <w:t>污水处理厂一座，远期（</w:t>
            </w:r>
            <w:r>
              <w:rPr>
                <w:rStyle w:val="104"/>
              </w:rPr>
              <w:t>2030</w:t>
            </w:r>
            <w:r>
              <w:rPr>
                <w:rStyle w:val="103"/>
                <w:rFonts w:hint="default" w:ascii="Times New Roman" w:hAnsi="Times New Roman"/>
              </w:rPr>
              <w:t>年）建设规模达到</w:t>
            </w:r>
            <w:r>
              <w:rPr>
                <w:rStyle w:val="104"/>
              </w:rPr>
              <w:t>2000m</w:t>
            </w:r>
            <w:r>
              <w:rPr>
                <w:rStyle w:val="105"/>
              </w:rPr>
              <w:t>3</w:t>
            </w:r>
            <w:r>
              <w:rPr>
                <w:rStyle w:val="104"/>
              </w:rPr>
              <w:t>/d</w:t>
            </w:r>
            <w:r>
              <w:rPr>
                <w:rStyle w:val="103"/>
                <w:rFonts w:hint="default" w:ascii="Times New Roman" w:hAnsi="Times New Roman"/>
              </w:rPr>
              <w:t>。</w:t>
            </w:r>
            <w:r>
              <w:rPr>
                <w:rStyle w:val="104"/>
              </w:rPr>
              <w:t>2.</w:t>
            </w:r>
            <w:r>
              <w:rPr>
                <w:rStyle w:val="103"/>
                <w:rFonts w:hint="default" w:ascii="Times New Roman" w:hAnsi="Times New Roman"/>
              </w:rPr>
              <w:t>配套建设</w:t>
            </w:r>
            <w:r>
              <w:rPr>
                <w:rStyle w:val="104"/>
              </w:rPr>
              <w:t>DN300-400</w:t>
            </w:r>
            <w:r>
              <w:rPr>
                <w:rStyle w:val="103"/>
                <w:rFonts w:hint="default" w:ascii="Times New Roman" w:hAnsi="Times New Roman"/>
              </w:rPr>
              <w:t>的污水管网</w:t>
            </w:r>
            <w:r>
              <w:rPr>
                <w:rStyle w:val="104"/>
              </w:rPr>
              <w:t>6980m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1660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临桂区中庸镇污水处理工程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600m</w:t>
            </w:r>
            <w:r>
              <w:rPr>
                <w:rStyle w:val="105"/>
              </w:rPr>
              <w:t>3</w:t>
            </w:r>
            <w:r>
              <w:rPr>
                <w:rStyle w:val="104"/>
              </w:rPr>
              <w:t>/d</w:t>
            </w:r>
            <w:r>
              <w:rPr>
                <w:rStyle w:val="103"/>
                <w:rFonts w:hint="default" w:ascii="Times New Roman" w:hAnsi="Times New Roman"/>
              </w:rPr>
              <w:t>污水处理厂</w:t>
            </w:r>
            <w:r>
              <w:rPr>
                <w:rStyle w:val="104"/>
              </w:rPr>
              <w:t>1</w:t>
            </w:r>
            <w:r>
              <w:rPr>
                <w:rStyle w:val="103"/>
                <w:rFonts w:hint="default" w:ascii="Times New Roman" w:hAnsi="Times New Roman"/>
              </w:rPr>
              <w:t>座，建设</w:t>
            </w:r>
            <w:r>
              <w:rPr>
                <w:rStyle w:val="104"/>
              </w:rPr>
              <w:t>DN300-400</w:t>
            </w:r>
            <w:r>
              <w:rPr>
                <w:rStyle w:val="103"/>
                <w:rFonts w:hint="default" w:ascii="Times New Roman" w:hAnsi="Times New Roman"/>
              </w:rPr>
              <w:t>污水管网</w:t>
            </w:r>
            <w:r>
              <w:rPr>
                <w:rStyle w:val="104"/>
              </w:rPr>
              <w:t>4200m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临桂区五通镇雨水管网建设工程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本项目为新建五通镇区雨水管网，共敷设</w:t>
            </w:r>
            <w:r>
              <w:rPr>
                <w:rStyle w:val="104"/>
              </w:rPr>
              <w:t>DN200-DN1800</w:t>
            </w:r>
            <w:r>
              <w:rPr>
                <w:rStyle w:val="103"/>
                <w:rFonts w:hint="default" w:ascii="Times New Roman" w:hAnsi="Times New Roman"/>
              </w:rPr>
              <w:t>雨水管网</w:t>
            </w:r>
            <w:r>
              <w:rPr>
                <w:rStyle w:val="104"/>
              </w:rPr>
              <w:t>6000m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永福县城区污水管网建设项目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铺设管径为</w:t>
            </w:r>
            <w:r>
              <w:rPr>
                <w:rStyle w:val="104"/>
              </w:rPr>
              <w:t>DN300-800</w:t>
            </w:r>
            <w:r>
              <w:rPr>
                <w:rStyle w:val="103"/>
                <w:rFonts w:hint="default" w:ascii="Times New Roman" w:hAnsi="Times New Roman"/>
              </w:rPr>
              <w:t>的污水管网</w:t>
            </w:r>
            <w:r>
              <w:rPr>
                <w:rStyle w:val="104"/>
              </w:rPr>
              <w:t>75937m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永福县堡里乡污水处理厂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日处理污水</w:t>
            </w:r>
            <w:r>
              <w:rPr>
                <w:rStyle w:val="104"/>
              </w:rPr>
              <w:t>2436</w:t>
            </w:r>
            <w:r>
              <w:rPr>
                <w:rStyle w:val="103"/>
                <w:rFonts w:hint="default" w:ascii="Times New Roman" w:hAnsi="Times New Roman"/>
              </w:rPr>
              <w:t>吨污水处理厂一座，</w:t>
            </w:r>
            <w:r>
              <w:rPr>
                <w:rStyle w:val="104"/>
              </w:rPr>
              <w:t>8.5km</w:t>
            </w:r>
            <w:r>
              <w:rPr>
                <w:rStyle w:val="103"/>
                <w:rFonts w:hint="default" w:ascii="Times New Roman" w:hAnsi="Times New Roman"/>
              </w:rPr>
              <w:t>配套管网。</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1580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永福县广福乡污水处理厂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w:t>
            </w:r>
            <w:r>
              <w:rPr>
                <w:rStyle w:val="104"/>
              </w:rPr>
              <w:t>400</w:t>
            </w:r>
            <w:r>
              <w:rPr>
                <w:rStyle w:val="103"/>
                <w:rFonts w:hint="default" w:ascii="Times New Roman" w:hAnsi="Times New Roman"/>
              </w:rPr>
              <w:t>吨污水处理厂及</w:t>
            </w:r>
            <w:r>
              <w:rPr>
                <w:rStyle w:val="104"/>
              </w:rPr>
              <w:t>1km</w:t>
            </w:r>
            <w:r>
              <w:rPr>
                <w:rStyle w:val="103"/>
                <w:rFonts w:hint="default" w:ascii="Times New Roman" w:hAnsi="Times New Roman"/>
              </w:rPr>
              <w:t>雨污管网附属设施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30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兴安县污水提升泵站工程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1.2</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污水提升泵站一座。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30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兴安县城南污水处理厂工程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新建近期规模</w:t>
            </w:r>
            <w:r>
              <w:rPr>
                <w:rStyle w:val="104"/>
              </w:rPr>
              <w:t>2.5</w:t>
            </w:r>
            <w:r>
              <w:rPr>
                <w:rStyle w:val="103"/>
                <w:rFonts w:hint="default" w:ascii="Times New Roman" w:hAnsi="Times New Roman"/>
              </w:rPr>
              <w:t>万</w:t>
            </w:r>
            <w:r>
              <w:rPr>
                <w:rStyle w:val="104"/>
              </w:rPr>
              <w:t>m</w:t>
            </w:r>
            <w:r>
              <w:rPr>
                <w:rStyle w:val="108"/>
                <w:rFonts w:ascii="Times New Roman" w:hAnsi="Times New Roman"/>
              </w:rPr>
              <w:t>³</w:t>
            </w:r>
            <w:r>
              <w:rPr>
                <w:rStyle w:val="104"/>
              </w:rPr>
              <w:t>/d</w:t>
            </w:r>
            <w:r>
              <w:rPr>
                <w:rStyle w:val="103"/>
                <w:rFonts w:hint="default" w:ascii="Times New Roman" w:hAnsi="Times New Roman"/>
              </w:rPr>
              <w:t>，远期</w:t>
            </w:r>
            <w:r>
              <w:rPr>
                <w:rStyle w:val="104"/>
              </w:rPr>
              <w:t>4.5</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污水处理厂一座。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兴安县乡镇污水处理系统工程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高尚镇、崔家乡、华江乡、漠川乡、白石乡等乡镇镇区建设污水处理厂各</w:t>
            </w:r>
            <w:r>
              <w:rPr>
                <w:rStyle w:val="104"/>
              </w:rPr>
              <w:t>1</w:t>
            </w:r>
            <w:r>
              <w:rPr>
                <w:rStyle w:val="103"/>
                <w:rFonts w:hint="default" w:ascii="Times New Roman" w:hAnsi="Times New Roman"/>
              </w:rPr>
              <w:t>座，规划日处理污水</w:t>
            </w:r>
            <w:r>
              <w:rPr>
                <w:rStyle w:val="104"/>
              </w:rPr>
              <w:t>2000</w:t>
            </w:r>
            <w:r>
              <w:rPr>
                <w:rStyle w:val="103"/>
                <w:rFonts w:hint="default" w:ascii="Times New Roman" w:hAnsi="Times New Roman"/>
              </w:rPr>
              <w:t>m</w:t>
            </w:r>
            <w:r>
              <w:rPr>
                <w:rStyle w:val="103"/>
                <w:rFonts w:hint="default" w:ascii="Times New Roman" w:hAnsi="Times New Roman"/>
                <w:vertAlign w:val="superscript"/>
              </w:rPr>
              <w:t>3</w:t>
            </w:r>
            <w:r>
              <w:rPr>
                <w:rStyle w:val="103"/>
                <w:rFonts w:hint="default" w:ascii="Times New Roman" w:hAnsi="Times New Roman"/>
              </w:rPr>
              <w:t>（高华）或</w:t>
            </w:r>
            <w:r>
              <w:rPr>
                <w:rStyle w:val="104"/>
              </w:rPr>
              <w:t>1000</w:t>
            </w:r>
            <w:r>
              <w:rPr>
                <w:rStyle w:val="103"/>
                <w:rFonts w:hint="default" w:ascii="Times New Roman" w:hAnsi="Times New Roman"/>
              </w:rPr>
              <w:t>m</w:t>
            </w:r>
            <w:r>
              <w:rPr>
                <w:rStyle w:val="103"/>
                <w:rFonts w:hint="default" w:ascii="Times New Roman" w:hAnsi="Times New Roman"/>
                <w:vertAlign w:val="superscript"/>
              </w:rPr>
              <w:t>3</w:t>
            </w:r>
            <w:r>
              <w:rPr>
                <w:rStyle w:val="103"/>
                <w:rFonts w:hint="default" w:ascii="Times New Roman" w:hAnsi="Times New Roman"/>
              </w:rPr>
              <w:t>（崔漠白），配套建设污水管网预计分别为</w:t>
            </w:r>
            <w:r>
              <w:rPr>
                <w:rStyle w:val="104"/>
              </w:rPr>
              <w:t>7700m</w:t>
            </w:r>
            <w:r>
              <w:rPr>
                <w:rStyle w:val="103"/>
                <w:rFonts w:hint="default" w:ascii="Times New Roman" w:hAnsi="Times New Roman"/>
              </w:rPr>
              <w:t>、</w:t>
            </w:r>
            <w:r>
              <w:rPr>
                <w:rStyle w:val="104"/>
              </w:rPr>
              <w:t>3500m</w:t>
            </w:r>
            <w:r>
              <w:rPr>
                <w:rStyle w:val="103"/>
                <w:rFonts w:hint="default" w:ascii="Times New Roman" w:hAnsi="Times New Roman"/>
              </w:rPr>
              <w:t>、</w:t>
            </w:r>
            <w:r>
              <w:rPr>
                <w:rStyle w:val="104"/>
              </w:rPr>
              <w:t>3300m</w:t>
            </w:r>
            <w:r>
              <w:rPr>
                <w:rStyle w:val="103"/>
                <w:rFonts w:hint="default" w:ascii="Times New Roman" w:hAnsi="Times New Roman"/>
              </w:rPr>
              <w:t>、</w:t>
            </w:r>
            <w:r>
              <w:rPr>
                <w:rStyle w:val="104"/>
              </w:rPr>
              <w:t>5300m</w:t>
            </w:r>
            <w:r>
              <w:rPr>
                <w:rStyle w:val="103"/>
                <w:rFonts w:hint="default" w:ascii="Times New Roman" w:hAnsi="Times New Roman"/>
              </w:rPr>
              <w:t>、</w:t>
            </w:r>
            <w:r>
              <w:rPr>
                <w:rStyle w:val="104"/>
              </w:rPr>
              <w:t>3300m</w:t>
            </w:r>
            <w:r>
              <w:rPr>
                <w:rStyle w:val="103"/>
                <w:rFonts w:hint="default" w:ascii="Times New Roman" w:hAnsi="Times New Roman"/>
              </w:rPr>
              <w:t>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兴安县污水管网改扩建工程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新建污水管网约</w:t>
            </w:r>
            <w:r>
              <w:rPr>
                <w:rStyle w:val="104"/>
              </w:rPr>
              <w:t>25km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6250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兴安县城北污水处理厂工程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新建污水处理能力</w:t>
            </w:r>
            <w:r>
              <w:rPr>
                <w:rStyle w:val="104"/>
              </w:rPr>
              <w:t>2.5</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污水处理厂</w:t>
            </w:r>
            <w:r>
              <w:rPr>
                <w:rStyle w:val="104"/>
              </w:rPr>
              <w:t>1</w:t>
            </w:r>
            <w:r>
              <w:rPr>
                <w:rStyle w:val="103"/>
                <w:rFonts w:hint="default" w:ascii="Times New Roman" w:hAnsi="Times New Roman"/>
              </w:rPr>
              <w:t>座，主要建设提升泵房、沉砂池、污泥脱水机房，管理用房等配套设施。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5290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全州县乡镇雨污水处理项目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集镇范围内的雨污管网埋设以及管网及污水处理厂建设。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119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全州县污水厂扩建工程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县城区污水厂改扩建。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全州县城北新区污水管网工程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铺设污水管网</w:t>
            </w:r>
            <w:r>
              <w:rPr>
                <w:rStyle w:val="104"/>
              </w:rPr>
              <w:t>30km</w:t>
            </w:r>
            <w:r>
              <w:rPr>
                <w:rStyle w:val="103"/>
                <w:rFonts w:hint="default" w:ascii="Times New Roman" w:hAnsi="Times New Roman"/>
              </w:rPr>
              <w:t>，建污水提升泵站</w:t>
            </w:r>
            <w:r>
              <w:rPr>
                <w:rStyle w:val="104"/>
              </w:rPr>
              <w:t>1</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灌阳县文市镇污水处理工程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日处理生活污水</w:t>
            </w:r>
            <w:r>
              <w:rPr>
                <w:rStyle w:val="104"/>
              </w:rPr>
              <w:t>6000</w:t>
            </w:r>
            <w:r>
              <w:rPr>
                <w:rStyle w:val="103"/>
                <w:rFonts w:hint="default" w:ascii="Times New Roman" w:hAnsi="Times New Roman"/>
              </w:rPr>
              <w:t>吨，敷设管径</w:t>
            </w:r>
            <w:r>
              <w:rPr>
                <w:rStyle w:val="104"/>
              </w:rPr>
              <w:t>300</w:t>
            </w:r>
            <w:r>
              <w:rPr>
                <w:rStyle w:val="103"/>
                <w:rFonts w:hint="default" w:ascii="Times New Roman" w:hAnsi="Times New Roman"/>
              </w:rPr>
              <w:t>~</w:t>
            </w:r>
            <w:r>
              <w:rPr>
                <w:rStyle w:val="104"/>
              </w:rPr>
              <w:t>800mm</w:t>
            </w:r>
            <w:r>
              <w:rPr>
                <w:rStyle w:val="103"/>
                <w:rFonts w:hint="default" w:ascii="Times New Roman" w:hAnsi="Times New Roman"/>
              </w:rPr>
              <w:t>污水管网</w:t>
            </w:r>
            <w:r>
              <w:rPr>
                <w:rStyle w:val="104"/>
              </w:rPr>
              <w:t>48.65km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6143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灌阳县城雨污管网完善工程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建设污水排水管网</w:t>
            </w:r>
            <w:r>
              <w:rPr>
                <w:rStyle w:val="104"/>
              </w:rPr>
              <w:t>30km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灌阳县文市镇工业园污水处理厂及配套污水管网工程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日处理污水</w:t>
            </w:r>
            <w:r>
              <w:rPr>
                <w:rStyle w:val="104"/>
              </w:rPr>
              <w:t>14</w:t>
            </w:r>
            <w:r>
              <w:rPr>
                <w:rStyle w:val="103"/>
                <w:rFonts w:hint="default" w:ascii="Times New Roman" w:hAnsi="Times New Roman"/>
              </w:rPr>
              <w:t>万吨。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628"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124</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灌阳县西山坪工业园污水处理厂及配套污水管网工程</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Style w:val="103"/>
                <w:rFonts w:hint="default" w:ascii="Times New Roman" w:hAnsi="Times New Roman"/>
              </w:rPr>
              <w:t>日处理污水</w:t>
            </w:r>
            <w:r>
              <w:rPr>
                <w:rStyle w:val="104"/>
              </w:rPr>
              <w:t>14</w:t>
            </w:r>
            <w:r>
              <w:rPr>
                <w:rStyle w:val="103"/>
                <w:rFonts w:hint="default" w:ascii="Times New Roman" w:hAnsi="Times New Roman"/>
              </w:rPr>
              <w:t>万吨。</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125</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恭城县污水处理示范县村级设施全覆盖项目</w:t>
            </w:r>
          </w:p>
        </w:tc>
        <w:tc>
          <w:tcPr>
            <w:tcW w:w="6520" w:type="dxa"/>
            <w:shd w:val="clear" w:color="auto" w:fill="auto"/>
            <w:vAlign w:val="center"/>
          </w:tcPr>
          <w:p>
            <w:pPr>
              <w:widowControl/>
              <w:spacing w:line="240" w:lineRule="auto"/>
              <w:ind w:firstLine="0" w:firstLineChars="0"/>
              <w:textAlignment w:val="center"/>
              <w:rPr>
                <w:color w:val="000000"/>
                <w:sz w:val="21"/>
                <w:szCs w:val="21"/>
              </w:rPr>
            </w:pPr>
            <w:r>
              <w:rPr>
                <w:rStyle w:val="104"/>
              </w:rPr>
              <w:t>100</w:t>
            </w:r>
            <w:r>
              <w:rPr>
                <w:rStyle w:val="103"/>
                <w:rFonts w:hint="default" w:ascii="Times New Roman" w:hAnsi="Times New Roman"/>
              </w:rPr>
              <w:t>个村屯污水处理工程，总日处理量</w:t>
            </w:r>
            <w:r>
              <w:rPr>
                <w:rStyle w:val="104"/>
              </w:rPr>
              <w:t>5940</w:t>
            </w:r>
            <w:r>
              <w:rPr>
                <w:rStyle w:val="103"/>
                <w:rFonts w:hint="default" w:ascii="Times New Roman" w:hAnsi="Times New Roman"/>
              </w:rPr>
              <w:t>吨，配套管网建设</w:t>
            </w:r>
            <w:r>
              <w:rPr>
                <w:rStyle w:val="104"/>
              </w:rPr>
              <w:t>536km</w:t>
            </w:r>
            <w:r>
              <w:rPr>
                <w:rStyle w:val="103"/>
                <w:rFonts w:hint="default" w:ascii="Times New Roman" w:hAnsi="Times New Roman"/>
              </w:rPr>
              <w:t>。</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21860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恭城县污水处理示范县镇级设施全覆盖项目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嘉会、栗木、龙虎、西岭、三江、虎尾新区</w:t>
            </w:r>
            <w:r>
              <w:rPr>
                <w:rStyle w:val="104"/>
              </w:rPr>
              <w:t>6</w:t>
            </w:r>
            <w:r>
              <w:rPr>
                <w:rStyle w:val="103"/>
                <w:rFonts w:hint="default" w:ascii="Times New Roman" w:hAnsi="Times New Roman"/>
              </w:rPr>
              <w:t>个污水处理工程，平安乡污水管网。</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12793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恭城县县城区污水配套管网</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建设污水配套管网</w:t>
            </w:r>
            <w:r>
              <w:rPr>
                <w:rStyle w:val="104"/>
              </w:rPr>
              <w:t>50km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灵川县城雨污分流改造工程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铺设灵川县县城区污水管网，共铺设</w:t>
            </w:r>
            <w:r>
              <w:rPr>
                <w:rStyle w:val="104"/>
              </w:rPr>
              <w:t>DN400-DN1000</w:t>
            </w:r>
            <w:r>
              <w:rPr>
                <w:rStyle w:val="103"/>
                <w:rFonts w:hint="default" w:ascii="Times New Roman" w:hAnsi="Times New Roman"/>
              </w:rPr>
              <w:t>污水自流管</w:t>
            </w:r>
            <w:r>
              <w:rPr>
                <w:rStyle w:val="104"/>
              </w:rPr>
              <w:t>10520m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2507</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灵川县八里街工业园区污水处理建设项目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新建处理能力</w:t>
            </w:r>
            <w:r>
              <w:rPr>
                <w:rStyle w:val="104"/>
              </w:rPr>
              <w:t>10000m</w:t>
            </w:r>
            <w:r>
              <w:rPr>
                <w:rStyle w:val="105"/>
              </w:rPr>
              <w:t>3</w:t>
            </w:r>
            <w:r>
              <w:rPr>
                <w:rStyle w:val="104"/>
              </w:rPr>
              <w:t>/d</w:t>
            </w:r>
            <w:r>
              <w:rPr>
                <w:rStyle w:val="103"/>
                <w:rFonts w:hint="default" w:ascii="Times New Roman" w:hAnsi="Times New Roman"/>
              </w:rPr>
              <w:t>的污水处理站一座和污水收集管网。园区污水处理基本流程，包括预处理段、一级处理段、二级处理段、尾水消毒和污泥处理段。</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3970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30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灵川县三街镇污水处理厂环境保护工程项目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新建一座总规模为</w:t>
            </w:r>
            <w:r>
              <w:rPr>
                <w:rStyle w:val="104"/>
              </w:rPr>
              <w:t>2000</w:t>
            </w:r>
            <w:r>
              <w:rPr>
                <w:rStyle w:val="103"/>
                <w:rFonts w:hint="default" w:ascii="Times New Roman" w:hAnsi="Times New Roman"/>
              </w:rPr>
              <w:t xml:space="preserve"> m</w:t>
            </w:r>
            <w:r>
              <w:rPr>
                <w:rStyle w:val="103"/>
                <w:rFonts w:hint="default" w:ascii="Times New Roman" w:hAnsi="Times New Roman"/>
                <w:vertAlign w:val="superscript"/>
              </w:rPr>
              <w:t>3</w:t>
            </w:r>
            <w:r>
              <w:rPr>
                <w:rStyle w:val="104"/>
              </w:rPr>
              <w:t>/d</w:t>
            </w:r>
            <w:r>
              <w:rPr>
                <w:rStyle w:val="103"/>
                <w:rFonts w:hint="default" w:ascii="Times New Roman" w:hAnsi="Times New Roman"/>
              </w:rPr>
              <w:t>的污水处理厂，新建和修缮集镇及周边污水管网</w:t>
            </w:r>
            <w:r>
              <w:rPr>
                <w:rStyle w:val="104"/>
              </w:rPr>
              <w:t>5000m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灵川县公平乡集镇污水处理及配套设施项目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公平乡集镇污水处理系统及配套设施建设。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灵川县九屋镇污水处理厂项目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九屋镇污水处理厂，处理污水量</w:t>
            </w:r>
            <w:r>
              <w:rPr>
                <w:rStyle w:val="104"/>
              </w:rPr>
              <w:t>1200 m</w:t>
            </w:r>
            <w:r>
              <w:rPr>
                <w:rStyle w:val="105"/>
              </w:rPr>
              <w:t>3</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3330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灵川县污水处理项目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铺设管网、新建污水处理池等。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3410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灵川县城新区污水处理厂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新建一座近期处理规模为日处理量</w:t>
            </w:r>
            <w:r>
              <w:rPr>
                <w:rStyle w:val="104"/>
              </w:rPr>
              <w:t>2</w:t>
            </w:r>
            <w:r>
              <w:rPr>
                <w:rStyle w:val="103"/>
                <w:rFonts w:hint="default" w:ascii="Times New Roman" w:hAnsi="Times New Roman"/>
              </w:rPr>
              <w:t>万</w:t>
            </w:r>
            <w:r>
              <w:rPr>
                <w:rStyle w:val="104"/>
              </w:rPr>
              <w:t>m</w:t>
            </w:r>
            <w:r>
              <w:rPr>
                <w:rStyle w:val="105"/>
              </w:rPr>
              <w:t>3</w:t>
            </w:r>
            <w:r>
              <w:rPr>
                <w:rStyle w:val="103"/>
                <w:rFonts w:hint="default" w:ascii="Times New Roman" w:hAnsi="Times New Roman"/>
              </w:rPr>
              <w:t>、远期达</w:t>
            </w:r>
            <w:r>
              <w:rPr>
                <w:rStyle w:val="104"/>
              </w:rPr>
              <w:t>5</w:t>
            </w:r>
            <w:r>
              <w:rPr>
                <w:rStyle w:val="103"/>
                <w:rFonts w:hint="default" w:ascii="Times New Roman" w:hAnsi="Times New Roman"/>
              </w:rPr>
              <w:t>万</w:t>
            </w:r>
            <w:r>
              <w:rPr>
                <w:rStyle w:val="104"/>
              </w:rPr>
              <w:t>m</w:t>
            </w:r>
            <w:r>
              <w:rPr>
                <w:rStyle w:val="105"/>
              </w:rPr>
              <w:t>3</w:t>
            </w:r>
            <w:r>
              <w:rPr>
                <w:rStyle w:val="103"/>
                <w:rFonts w:hint="default" w:ascii="Times New Roman" w:hAnsi="Times New Roman"/>
              </w:rPr>
              <w:t>的污水处理厂，污水处理厂厂区占地面积</w:t>
            </w:r>
            <w:r>
              <w:rPr>
                <w:rStyle w:val="104"/>
              </w:rPr>
              <w:t>6ha</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135</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灵川县潮田乡村级污水处理站项目</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Fonts w:hint="eastAsia" w:cs="仿宋"/>
                <w:color w:val="000000"/>
                <w:kern w:val="0"/>
                <w:sz w:val="21"/>
                <w:szCs w:val="21"/>
              </w:rPr>
              <w:t>污水收集管网处理机房设备。</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136</w:t>
            </w:r>
          </w:p>
        </w:tc>
        <w:tc>
          <w:tcPr>
            <w:tcW w:w="3119"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灵川县潭下镇污水处理生态修复与治理</w:t>
            </w:r>
          </w:p>
        </w:tc>
        <w:tc>
          <w:tcPr>
            <w:tcW w:w="6520" w:type="dxa"/>
            <w:shd w:val="clear" w:color="auto" w:fill="auto"/>
            <w:vAlign w:val="center"/>
          </w:tcPr>
          <w:p>
            <w:pPr>
              <w:widowControl/>
              <w:spacing w:line="240" w:lineRule="auto"/>
              <w:ind w:firstLine="0" w:firstLineChars="0"/>
              <w:textAlignment w:val="center"/>
              <w:rPr>
                <w:rFonts w:cs="仿宋"/>
                <w:color w:val="000000"/>
                <w:sz w:val="21"/>
                <w:szCs w:val="21"/>
              </w:rPr>
            </w:pPr>
            <w:r>
              <w:rPr>
                <w:rFonts w:hint="eastAsia" w:cs="仿宋"/>
                <w:color w:val="000000"/>
                <w:kern w:val="0"/>
                <w:sz w:val="21"/>
                <w:szCs w:val="21"/>
              </w:rPr>
              <w:t>镇污水处理生态修复与治理。</w:t>
            </w:r>
          </w:p>
        </w:tc>
        <w:tc>
          <w:tcPr>
            <w:tcW w:w="992"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40"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灵川县潭下镇镇区污水管网入户项目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污水管网建设</w:t>
            </w:r>
            <w:r>
              <w:rPr>
                <w:rStyle w:val="104"/>
              </w:rPr>
              <w:t>5km</w:t>
            </w:r>
            <w:r>
              <w:rPr>
                <w:rStyle w:val="103"/>
                <w:rFonts w:hint="default" w:ascii="Times New Roman" w:hAnsi="Times New Roman"/>
              </w:rPr>
              <w:t>；</w:t>
            </w:r>
            <w:r>
              <w:rPr>
                <w:rStyle w:val="104"/>
              </w:rPr>
              <w:t>(</w:t>
            </w:r>
            <w:r>
              <w:rPr>
                <w:rStyle w:val="103"/>
                <w:rFonts w:hint="default" w:ascii="Times New Roman" w:hAnsi="Times New Roman"/>
              </w:rPr>
              <w:t>完善二、三期）。</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2650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灵川县三街镇移民新村污水处理站项目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在移民新村修建一座污水处理站，改善农村环境连片整治。</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111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荔浦县工业集中区污水处理系统建设项目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建设金鸡坪污水处理能力</w:t>
            </w:r>
            <w:r>
              <w:rPr>
                <w:rStyle w:val="104"/>
              </w:rPr>
              <w:t>2</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，铺设污水收集管网</w:t>
            </w:r>
            <w:r>
              <w:rPr>
                <w:rStyle w:val="104"/>
              </w:rPr>
              <w:t>19.449km</w:t>
            </w:r>
            <w:r>
              <w:rPr>
                <w:rStyle w:val="103"/>
                <w:rFonts w:hint="default" w:ascii="Times New Roman" w:hAnsi="Times New Roman"/>
              </w:rPr>
              <w:t>，建设提升泵站一座。建设长水岭污水处理能力</w:t>
            </w:r>
            <w:r>
              <w:rPr>
                <w:rStyle w:val="104"/>
              </w:rPr>
              <w:t>2</w:t>
            </w:r>
            <w:r>
              <w:rPr>
                <w:rStyle w:val="103"/>
                <w:rFonts w:hint="default" w:ascii="Times New Roman" w:hAnsi="Times New Roman"/>
              </w:rPr>
              <w:t>万立方米</w:t>
            </w:r>
            <w:r>
              <w:rPr>
                <w:rStyle w:val="104"/>
              </w:rPr>
              <w:t>/</w:t>
            </w:r>
            <w:r>
              <w:rPr>
                <w:rStyle w:val="103"/>
                <w:rFonts w:hint="default" w:ascii="Times New Roman" w:hAnsi="Times New Roman"/>
              </w:rPr>
              <w:t>日污水处理池。建设金牛雨污管网建设、花圃、照明，道路工程等。建设长水岭污水提升泵站，泵站规模近期按</w:t>
            </w:r>
            <w:r>
              <w:rPr>
                <w:rStyle w:val="104"/>
              </w:rPr>
              <w:t>1</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，远期按</w:t>
            </w:r>
            <w:r>
              <w:rPr>
                <w:rStyle w:val="104"/>
              </w:rPr>
              <w:t>2</w:t>
            </w:r>
            <w:r>
              <w:rPr>
                <w:rStyle w:val="103"/>
                <w:rFonts w:hint="default" w:ascii="Times New Roman" w:hAnsi="Times New Roman"/>
              </w:rPr>
              <w:t>万m</w:t>
            </w:r>
            <w:r>
              <w:rPr>
                <w:rStyle w:val="103"/>
                <w:rFonts w:hint="default" w:ascii="Times New Roman" w:hAnsi="Times New Roman"/>
                <w:vertAlign w:val="superscript"/>
              </w:rPr>
              <w:t>3</w:t>
            </w:r>
            <w:r>
              <w:rPr>
                <w:rStyle w:val="104"/>
              </w:rPr>
              <w:t>/d</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13542</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荔浦县城区生活污水处理工程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主管网</w:t>
            </w:r>
            <w:r>
              <w:rPr>
                <w:rStyle w:val="104"/>
              </w:rPr>
              <w:t>23km</w:t>
            </w:r>
            <w:r>
              <w:rPr>
                <w:rStyle w:val="103"/>
                <w:rFonts w:hint="default" w:ascii="Times New Roman" w:hAnsi="Times New Roman"/>
              </w:rPr>
              <w:t>雨污分流，污水处理厂新增污水处理能力</w:t>
            </w:r>
            <w:r>
              <w:rPr>
                <w:rStyle w:val="104"/>
              </w:rPr>
              <w:t>30000</w:t>
            </w:r>
            <w:r>
              <w:rPr>
                <w:rStyle w:val="103"/>
                <w:rFonts w:hint="default" w:ascii="Times New Roman" w:hAnsi="Times New Roman"/>
              </w:rPr>
              <w:t>吨</w:t>
            </w:r>
            <w:r>
              <w:rPr>
                <w:rStyle w:val="104"/>
              </w:rPr>
              <w:t>/</w:t>
            </w:r>
            <w:r>
              <w:rPr>
                <w:rStyle w:val="103"/>
                <w:rFonts w:hint="default" w:ascii="Times New Roman" w:hAnsi="Times New Roman"/>
              </w:rPr>
              <w:t>日，达</w:t>
            </w:r>
            <w:r>
              <w:rPr>
                <w:rStyle w:val="104"/>
              </w:rPr>
              <w:t>60000</w:t>
            </w:r>
            <w:r>
              <w:rPr>
                <w:rStyle w:val="103"/>
                <w:rFonts w:hint="default" w:ascii="Times New Roman" w:hAnsi="Times New Roman"/>
              </w:rPr>
              <w:t>吨</w:t>
            </w:r>
            <w:r>
              <w:rPr>
                <w:rStyle w:val="104"/>
              </w:rPr>
              <w:t>/</w:t>
            </w:r>
            <w:r>
              <w:rPr>
                <w:rStyle w:val="103"/>
                <w:rFonts w:hint="default" w:ascii="Times New Roman" w:hAnsi="Times New Roman"/>
              </w:rPr>
              <w:t>日。</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荔浦县乡镇污水处理工程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新建荔浦县青山镇、新坪镇、东昌镇、杜莫镇、大塘镇、双江镇、花篢镇、龙怀乡、茶城乡、蒲芦乡等</w:t>
            </w:r>
            <w:r>
              <w:rPr>
                <w:rStyle w:val="104"/>
              </w:rPr>
              <w:t>10</w:t>
            </w:r>
            <w:r>
              <w:rPr>
                <w:rStyle w:val="103"/>
                <w:rFonts w:hint="default" w:ascii="Times New Roman" w:hAnsi="Times New Roman"/>
              </w:rPr>
              <w:t>个乡镇污水、垃圾处理工程。</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荔浦县乡镇集镇雨污管网建设项目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在荔浦县东昌镇等</w:t>
            </w:r>
            <w:r>
              <w:rPr>
                <w:rStyle w:val="104"/>
              </w:rPr>
              <w:t>12</w:t>
            </w:r>
            <w:r>
              <w:rPr>
                <w:rStyle w:val="103"/>
                <w:rFonts w:hint="default" w:ascii="Times New Roman" w:hAnsi="Times New Roman"/>
              </w:rPr>
              <w:t>个乡镇铺设雨污管网</w:t>
            </w:r>
            <w:r>
              <w:rPr>
                <w:rStyle w:val="104"/>
              </w:rPr>
              <w:t>114.5km</w:t>
            </w:r>
            <w:r>
              <w:rPr>
                <w:rStyle w:val="103"/>
                <w:rFonts w:hint="default" w:ascii="Times New Roman" w:hAnsi="Times New Roman"/>
              </w:rPr>
              <w:t>及绿化美化工程。</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16850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龙胜县行政村生活污水处理设施和配套管网建设项目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日处理总量</w:t>
            </w:r>
            <w:r>
              <w:rPr>
                <w:rStyle w:val="104"/>
              </w:rPr>
              <w:t>5280</w:t>
            </w:r>
            <w:r>
              <w:rPr>
                <w:rStyle w:val="103"/>
                <w:rFonts w:hint="default" w:ascii="Times New Roman" w:hAnsi="Times New Roman"/>
              </w:rPr>
              <w:t>吨的污水处理设施</w:t>
            </w:r>
            <w:r>
              <w:rPr>
                <w:rStyle w:val="104"/>
              </w:rPr>
              <w:t>63</w:t>
            </w:r>
            <w:r>
              <w:rPr>
                <w:rStyle w:val="103"/>
                <w:rFonts w:hint="default" w:ascii="Times New Roman" w:hAnsi="Times New Roman"/>
              </w:rPr>
              <w:t>套，配套污水收集管网</w:t>
            </w:r>
            <w:r>
              <w:rPr>
                <w:rStyle w:val="104"/>
              </w:rPr>
              <w:t>374.3km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10674</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龙胜县县城污水处理建设项目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扩建污水处理厂（二期），占地</w:t>
            </w:r>
            <w:r>
              <w:rPr>
                <w:rStyle w:val="104"/>
              </w:rPr>
              <w:t>10</w:t>
            </w:r>
            <w:r>
              <w:rPr>
                <w:rStyle w:val="103"/>
                <w:rFonts w:hint="default" w:ascii="Times New Roman" w:hAnsi="Times New Roman"/>
              </w:rPr>
              <w:t>亩，日处理生活污水</w:t>
            </w:r>
            <w:r>
              <w:rPr>
                <w:rStyle w:val="104"/>
              </w:rPr>
              <w:t>0.5</w:t>
            </w:r>
            <w:r>
              <w:rPr>
                <w:rStyle w:val="103"/>
                <w:rFonts w:hint="default" w:ascii="Times New Roman" w:hAnsi="Times New Roman"/>
              </w:rPr>
              <w:t>万吨，完善化验室建设。铺设污水管</w:t>
            </w:r>
            <w:r>
              <w:rPr>
                <w:rStyle w:val="104"/>
              </w:rPr>
              <w:t>20km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2"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龙胜县乡镇污水处理建设项目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w:t>
            </w:r>
            <w:r>
              <w:rPr>
                <w:rStyle w:val="104"/>
              </w:rPr>
              <w:t>8</w:t>
            </w:r>
            <w:r>
              <w:rPr>
                <w:rStyle w:val="103"/>
                <w:rFonts w:hint="default" w:ascii="Times New Roman" w:hAnsi="Times New Roman"/>
              </w:rPr>
              <w:t>个乡镇污水处理厂，铺设污水管</w:t>
            </w:r>
            <w:r>
              <w:rPr>
                <w:rStyle w:val="104"/>
              </w:rPr>
              <w:t>90km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3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阳朔县污水处理系统工程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新建污水处理厂一座，建设规模近期（</w:t>
            </w:r>
            <w:r>
              <w:rPr>
                <w:rStyle w:val="104"/>
              </w:rPr>
              <w:t>2015</w:t>
            </w:r>
            <w:r>
              <w:rPr>
                <w:rStyle w:val="103"/>
                <w:rFonts w:hint="default" w:ascii="Times New Roman" w:hAnsi="Times New Roman"/>
              </w:rPr>
              <w:t>年）为</w:t>
            </w:r>
            <w:r>
              <w:rPr>
                <w:rStyle w:val="104"/>
              </w:rPr>
              <w:t>3000</w:t>
            </w:r>
            <w:r>
              <w:rPr>
                <w:rStyle w:val="103"/>
                <w:rFonts w:hint="default" w:ascii="Times New Roman" w:hAnsi="Times New Roman"/>
              </w:rPr>
              <w:t>吨</w:t>
            </w:r>
            <w:r>
              <w:rPr>
                <w:rStyle w:val="104"/>
              </w:rPr>
              <w:t>/</w:t>
            </w:r>
            <w:r>
              <w:rPr>
                <w:rStyle w:val="103"/>
                <w:rFonts w:hint="default" w:ascii="Times New Roman" w:hAnsi="Times New Roman"/>
              </w:rPr>
              <w:t>天，远期（</w:t>
            </w:r>
            <w:r>
              <w:rPr>
                <w:rStyle w:val="104"/>
              </w:rPr>
              <w:t>2025</w:t>
            </w:r>
            <w:r>
              <w:rPr>
                <w:rStyle w:val="103"/>
                <w:rFonts w:hint="default" w:ascii="Times New Roman" w:hAnsi="Times New Roman"/>
              </w:rPr>
              <w:t>年）为</w:t>
            </w:r>
            <w:r>
              <w:rPr>
                <w:rStyle w:val="104"/>
              </w:rPr>
              <w:t>6000</w:t>
            </w:r>
            <w:r>
              <w:rPr>
                <w:rStyle w:val="103"/>
                <w:rFonts w:hint="default" w:ascii="Times New Roman" w:hAnsi="Times New Roman"/>
              </w:rPr>
              <w:t>吨</w:t>
            </w:r>
            <w:r>
              <w:rPr>
                <w:rStyle w:val="104"/>
              </w:rPr>
              <w:t>/</w:t>
            </w:r>
            <w:r>
              <w:rPr>
                <w:rStyle w:val="103"/>
                <w:rFonts w:hint="default" w:ascii="Times New Roman" w:hAnsi="Times New Roman"/>
              </w:rPr>
              <w:t>天。</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阳朔县普益乡污水处理系统工程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主体工程——污水处理厂</w:t>
            </w:r>
            <w:r>
              <w:rPr>
                <w:rStyle w:val="104"/>
              </w:rPr>
              <w:t>1</w:t>
            </w:r>
            <w:r>
              <w:rPr>
                <w:rStyle w:val="103"/>
                <w:rFonts w:hint="default" w:ascii="Times New Roman" w:hAnsi="Times New Roman"/>
              </w:rPr>
              <w:t>座、占地</w:t>
            </w:r>
            <w:r>
              <w:rPr>
                <w:rStyle w:val="104"/>
              </w:rPr>
              <w:t>3825</w:t>
            </w:r>
            <w:r>
              <w:rPr>
                <w:rStyle w:val="103"/>
                <w:rFonts w:hint="default" w:ascii="Times New Roman" w:hAnsi="Times New Roman"/>
              </w:rPr>
              <w:t>㎡，配套敷设污水主干管（管径</w:t>
            </w:r>
            <w:r>
              <w:rPr>
                <w:rStyle w:val="104"/>
              </w:rPr>
              <w:t>DN300-DN600</w:t>
            </w:r>
            <w:r>
              <w:rPr>
                <w:rStyle w:val="103"/>
                <w:rFonts w:hint="default" w:ascii="Times New Roman" w:hAnsi="Times New Roman"/>
              </w:rPr>
              <w:t>）</w:t>
            </w:r>
            <w:r>
              <w:rPr>
                <w:rStyle w:val="104"/>
              </w:rPr>
              <w:t>3251m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2034</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02"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阳朔县金宝乡污水处理系统工程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主体工程——污水处理厂</w:t>
            </w:r>
            <w:r>
              <w:rPr>
                <w:rStyle w:val="104"/>
              </w:rPr>
              <w:t>1</w:t>
            </w:r>
            <w:r>
              <w:rPr>
                <w:rStyle w:val="103"/>
                <w:rFonts w:hint="default" w:ascii="Times New Roman" w:hAnsi="Times New Roman"/>
              </w:rPr>
              <w:t>座、占地</w:t>
            </w:r>
            <w:r>
              <w:rPr>
                <w:rStyle w:val="104"/>
              </w:rPr>
              <w:t>2480.0</w:t>
            </w:r>
            <w:r>
              <w:rPr>
                <w:rStyle w:val="103"/>
                <w:rFonts w:hint="default" w:ascii="Times New Roman" w:hAnsi="Times New Roman"/>
              </w:rPr>
              <w:t>㎡，配套敷设污水主干管（管径</w:t>
            </w:r>
            <w:r>
              <w:rPr>
                <w:rStyle w:val="104"/>
              </w:rPr>
              <w:t>DN300-DN500</w:t>
            </w:r>
            <w:r>
              <w:rPr>
                <w:rStyle w:val="103"/>
                <w:rFonts w:hint="default" w:ascii="Times New Roman" w:hAnsi="Times New Roman"/>
              </w:rPr>
              <w:t>）</w:t>
            </w:r>
            <w:r>
              <w:rPr>
                <w:rStyle w:val="104"/>
              </w:rPr>
              <w:t>5610m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1383</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942"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149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阳朔县排水排污管网增容增设改造工程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阳朔县城抗战路、武警路、农械厂片区、城北路、城中路、叠翠路、滨江路等路段排水排污管网增容增设改造</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14"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阳朔县新城区污水处理厂二期工程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新建日处理规模</w:t>
            </w:r>
            <w:r>
              <w:rPr>
                <w:rStyle w:val="104"/>
              </w:rPr>
              <w:t>4</w:t>
            </w:r>
            <w:r>
              <w:rPr>
                <w:rStyle w:val="103"/>
                <w:rFonts w:hint="default" w:ascii="Times New Roman" w:hAnsi="Times New Roman"/>
              </w:rPr>
              <w:t>万m</w:t>
            </w:r>
            <w:r>
              <w:rPr>
                <w:rStyle w:val="103"/>
                <w:rFonts w:hint="default" w:ascii="Times New Roman" w:hAnsi="Times New Roman"/>
                <w:vertAlign w:val="superscript"/>
              </w:rPr>
              <w:t>3</w:t>
            </w:r>
            <w:r>
              <w:rPr>
                <w:rStyle w:val="103"/>
                <w:rFonts w:hint="default" w:ascii="Times New Roman" w:hAnsi="Times New Roman"/>
              </w:rPr>
              <w:t>污水处理厂及厂外提升泵房一座，处理工艺采用</w:t>
            </w:r>
            <w:r>
              <w:rPr>
                <w:rStyle w:val="104"/>
              </w:rPr>
              <w:t>A2/0</w:t>
            </w:r>
            <w:r>
              <w:rPr>
                <w:rStyle w:val="103"/>
                <w:rFonts w:hint="default" w:ascii="Times New Roman" w:hAnsi="Times New Roman"/>
              </w:rPr>
              <w:t>工艺。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954"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阳朔县兴坪镇污水处理厂扩建工程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在原有厂区的基础上扩建为日处理污水</w:t>
            </w:r>
            <w:r>
              <w:rPr>
                <w:rStyle w:val="104"/>
              </w:rPr>
              <w:t>6000</w:t>
            </w:r>
            <w:r>
              <w:rPr>
                <w:rStyle w:val="103"/>
                <w:rFonts w:hint="default" w:ascii="Times New Roman" w:hAnsi="Times New Roman"/>
              </w:rPr>
              <w:t>吨，增加管网</w:t>
            </w:r>
            <w:r>
              <w:rPr>
                <w:rStyle w:val="104"/>
              </w:rPr>
              <w:t>5km</w:t>
            </w:r>
            <w:r>
              <w:rPr>
                <w:rStyle w:val="103"/>
                <w:rFonts w:hint="default" w:ascii="Times New Roman" w:hAnsi="Times New Roman"/>
              </w:rPr>
              <w:t>，解决集镇、新镇区、火车站等的污水处理任务。</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6" w:hRule="atLeast"/>
        </w:trPr>
        <w:tc>
          <w:tcPr>
            <w:tcW w:w="794"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152</w:t>
            </w:r>
          </w:p>
        </w:tc>
        <w:tc>
          <w:tcPr>
            <w:tcW w:w="3119" w:type="dxa"/>
            <w:shd w:val="clear" w:color="auto" w:fill="auto"/>
            <w:vAlign w:val="center"/>
          </w:tcPr>
          <w:p>
            <w:pPr>
              <w:widowControl/>
              <w:ind w:firstLine="0" w:firstLineChars="0"/>
              <w:jc w:val="center"/>
              <w:textAlignment w:val="center"/>
              <w:rPr>
                <w:rFonts w:cs="仿宋"/>
                <w:color w:val="000000"/>
                <w:sz w:val="21"/>
                <w:szCs w:val="21"/>
              </w:rPr>
            </w:pPr>
            <w:r>
              <w:rPr>
                <w:rFonts w:hint="eastAsia" w:cs="仿宋"/>
                <w:color w:val="000000"/>
                <w:kern w:val="0"/>
                <w:sz w:val="21"/>
                <w:szCs w:val="21"/>
              </w:rPr>
              <w:t>平乐县镇级污水处理工程项目</w:t>
            </w:r>
          </w:p>
        </w:tc>
        <w:tc>
          <w:tcPr>
            <w:tcW w:w="6520" w:type="dxa"/>
            <w:shd w:val="clear" w:color="auto" w:fill="auto"/>
            <w:vAlign w:val="center"/>
          </w:tcPr>
          <w:p>
            <w:pPr>
              <w:widowControl/>
              <w:ind w:firstLine="0" w:firstLineChars="0"/>
              <w:textAlignment w:val="center"/>
              <w:rPr>
                <w:rFonts w:cs="仿宋"/>
                <w:color w:val="000000"/>
                <w:sz w:val="21"/>
                <w:szCs w:val="21"/>
              </w:rPr>
            </w:pPr>
            <w:r>
              <w:rPr>
                <w:rStyle w:val="103"/>
                <w:rFonts w:hint="default" w:ascii="Times New Roman" w:hAnsi="Times New Roman"/>
              </w:rPr>
              <w:t>建设污水处理厂九座，敷设管网</w:t>
            </w:r>
            <w:r>
              <w:rPr>
                <w:rStyle w:val="104"/>
              </w:rPr>
              <w:t>66km</w:t>
            </w:r>
            <w:r>
              <w:rPr>
                <w:rStyle w:val="103"/>
                <w:rFonts w:hint="default" w:ascii="Times New Roman" w:hAnsi="Times New Roman"/>
              </w:rPr>
              <w:t>。</w:t>
            </w:r>
          </w:p>
        </w:tc>
        <w:tc>
          <w:tcPr>
            <w:tcW w:w="992"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16800</w:t>
            </w:r>
          </w:p>
        </w:tc>
        <w:tc>
          <w:tcPr>
            <w:tcW w:w="1560"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1" w:hRule="atLeast"/>
        </w:trPr>
        <w:tc>
          <w:tcPr>
            <w:tcW w:w="794"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153</w:t>
            </w:r>
          </w:p>
        </w:tc>
        <w:tc>
          <w:tcPr>
            <w:tcW w:w="3119" w:type="dxa"/>
            <w:shd w:val="clear" w:color="auto" w:fill="auto"/>
            <w:vAlign w:val="center"/>
          </w:tcPr>
          <w:p>
            <w:pPr>
              <w:widowControl/>
              <w:ind w:firstLine="0" w:firstLineChars="0"/>
              <w:jc w:val="center"/>
              <w:textAlignment w:val="center"/>
              <w:rPr>
                <w:color w:val="000000"/>
                <w:sz w:val="21"/>
                <w:szCs w:val="21"/>
              </w:rPr>
            </w:pPr>
            <w:r>
              <w:rPr>
                <w:rStyle w:val="104"/>
              </w:rPr>
              <w:t>6</w:t>
            </w:r>
            <w:r>
              <w:rPr>
                <w:rStyle w:val="103"/>
                <w:rFonts w:hint="default" w:ascii="Times New Roman" w:hAnsi="Times New Roman"/>
              </w:rPr>
              <w:t>个乡镇污水处理工程</w:t>
            </w:r>
          </w:p>
        </w:tc>
        <w:tc>
          <w:tcPr>
            <w:tcW w:w="6520" w:type="dxa"/>
            <w:shd w:val="clear" w:color="auto" w:fill="auto"/>
            <w:vAlign w:val="center"/>
          </w:tcPr>
          <w:p>
            <w:pPr>
              <w:widowControl/>
              <w:ind w:firstLine="0" w:firstLineChars="0"/>
              <w:textAlignment w:val="center"/>
              <w:rPr>
                <w:color w:val="000000"/>
                <w:sz w:val="21"/>
                <w:szCs w:val="21"/>
              </w:rPr>
            </w:pPr>
            <w:r>
              <w:rPr>
                <w:rStyle w:val="104"/>
              </w:rPr>
              <w:t>5100</w:t>
            </w:r>
            <w:r>
              <w:rPr>
                <w:rStyle w:val="103"/>
                <w:rFonts w:hint="default" w:ascii="Times New Roman" w:hAnsi="Times New Roman"/>
              </w:rPr>
              <w:t>吨</w:t>
            </w:r>
            <w:r>
              <w:rPr>
                <w:rStyle w:val="104"/>
              </w:rPr>
              <w:t>/</w:t>
            </w:r>
            <w:r>
              <w:rPr>
                <w:rStyle w:val="103"/>
                <w:rFonts w:hint="default" w:ascii="Times New Roman" w:hAnsi="Times New Roman"/>
              </w:rPr>
              <w:t>日，管网</w:t>
            </w:r>
            <w:r>
              <w:rPr>
                <w:rStyle w:val="104"/>
              </w:rPr>
              <w:t>43km</w:t>
            </w:r>
            <w:r>
              <w:rPr>
                <w:rStyle w:val="103"/>
                <w:rFonts w:hint="default" w:ascii="Times New Roman" w:hAnsi="Times New Roman"/>
              </w:rPr>
              <w:t>。</w:t>
            </w:r>
          </w:p>
        </w:tc>
        <w:tc>
          <w:tcPr>
            <w:tcW w:w="992"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7270</w:t>
            </w:r>
          </w:p>
        </w:tc>
        <w:tc>
          <w:tcPr>
            <w:tcW w:w="1560" w:type="dxa"/>
            <w:shd w:val="clear" w:color="auto" w:fill="auto"/>
            <w:vAlign w:val="center"/>
          </w:tcPr>
          <w:p>
            <w:pPr>
              <w:widowControl/>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ind w:firstLine="0" w:firstLineChars="0"/>
              <w:jc w:val="center"/>
              <w:textAlignment w:val="center"/>
              <w:rPr>
                <w:rFonts w:cs="仿宋"/>
                <w:color w:val="000000"/>
                <w:sz w:val="21"/>
                <w:szCs w:val="21"/>
              </w:rPr>
            </w:pPr>
            <w:r>
              <w:rPr>
                <w:rFonts w:hint="eastAsia" w:cs="仿宋"/>
                <w:color w:val="000000"/>
                <w:kern w:val="0"/>
                <w:sz w:val="21"/>
                <w:szCs w:val="21"/>
              </w:rPr>
              <w:t>资源县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954"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苏桥经济开发区污水处理厂项目（二期）</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2</w:t>
            </w:r>
            <w:r>
              <w:rPr>
                <w:rStyle w:val="103"/>
                <w:rFonts w:hint="default" w:ascii="Times New Roman" w:hAnsi="Times New Roman"/>
              </w:rPr>
              <w:t>万吨</w:t>
            </w:r>
            <w:r>
              <w:rPr>
                <w:rStyle w:val="104"/>
              </w:rPr>
              <w:t>/</w:t>
            </w:r>
            <w:r>
              <w:rPr>
                <w:rStyle w:val="103"/>
                <w:rFonts w:hint="default" w:ascii="Times New Roman" w:hAnsi="Times New Roman"/>
              </w:rPr>
              <w:t>日污水处理厂；“十三五”扩建</w:t>
            </w:r>
            <w:r>
              <w:rPr>
                <w:rStyle w:val="104"/>
              </w:rPr>
              <w:t>5-6</w:t>
            </w:r>
            <w:r>
              <w:rPr>
                <w:rStyle w:val="103"/>
                <w:rFonts w:hint="default" w:ascii="Times New Roman" w:hAnsi="Times New Roman"/>
              </w:rPr>
              <w:t>万吨</w:t>
            </w:r>
            <w:r>
              <w:rPr>
                <w:rStyle w:val="104"/>
              </w:rPr>
              <w:t>/</w:t>
            </w:r>
            <w:r>
              <w:rPr>
                <w:rStyle w:val="103"/>
                <w:rFonts w:hint="default" w:ascii="Times New Roman" w:hAnsi="Times New Roman"/>
              </w:rPr>
              <w:t>日、配套建设污水收集管管网。</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（四）垃圾处理</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45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216163</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9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冲口生活垃圾卫生填埋场封场工程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需实施封场作业的水平面积共约</w:t>
            </w:r>
            <w:r>
              <w:rPr>
                <w:rStyle w:val="104"/>
              </w:rPr>
              <w:t>290</w:t>
            </w:r>
            <w:r>
              <w:rPr>
                <w:rStyle w:val="103"/>
                <w:rFonts w:hint="default" w:ascii="Times New Roman" w:hAnsi="Times New Roman"/>
              </w:rPr>
              <w:t>亩，工程建设内容包括：垃圾堆体整形与处理、填埋气体收集与处理、封场覆盖系统、地表水分流系统、渗滤液收集处理系统和植被恢复。</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7866</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桂林市餐厨垃圾处理厂</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主要建设内容包括综合楼、沼气利用车间、设备间、计量门卫间、锅炉房、预处理车间、污泥脱水车间、堆肥车间、膜处理车间等。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7174</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临桂区茶洞乡生活垃圾收集及运转</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300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集镇垃圾转运站，</w:t>
            </w:r>
            <w:r>
              <w:rPr>
                <w:rStyle w:val="104"/>
              </w:rPr>
              <w:t>104</w:t>
            </w:r>
            <w:r>
              <w:rPr>
                <w:rStyle w:val="103"/>
                <w:rFonts w:hint="default" w:ascii="Times New Roman" w:hAnsi="Times New Roman"/>
              </w:rPr>
              <w:t>个垃圾集装箱；</w:t>
            </w:r>
            <w:r>
              <w:rPr>
                <w:rStyle w:val="104"/>
              </w:rPr>
              <w:t>300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集镇垃圾转运站，</w:t>
            </w:r>
            <w:r>
              <w:rPr>
                <w:rStyle w:val="104"/>
              </w:rPr>
              <w:t>11</w:t>
            </w:r>
            <w:r>
              <w:rPr>
                <w:rStyle w:val="103"/>
                <w:rFonts w:hint="default" w:ascii="Times New Roman" w:hAnsi="Times New Roman"/>
              </w:rPr>
              <w:t>个行政村的垃圾收集。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临桂区会仙镇垃圾转运站系统工程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占地</w:t>
            </w:r>
            <w:r>
              <w:rPr>
                <w:rStyle w:val="104"/>
              </w:rPr>
              <w:t>1500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，建设规模为</w:t>
            </w:r>
            <w:r>
              <w:rPr>
                <w:rStyle w:val="104"/>
              </w:rPr>
              <w:t>80t/d</w:t>
            </w:r>
            <w:r>
              <w:rPr>
                <w:rStyle w:val="103"/>
                <w:rFonts w:hint="default" w:ascii="Times New Roman" w:hAnsi="Times New Roman"/>
              </w:rPr>
              <w:t>的垃圾转运站一座，</w:t>
            </w:r>
            <w:r>
              <w:rPr>
                <w:rStyle w:val="104"/>
              </w:rPr>
              <w:t>32</w:t>
            </w:r>
            <w:r>
              <w:rPr>
                <w:rStyle w:val="103"/>
                <w:rFonts w:hint="default" w:ascii="Times New Roman" w:hAnsi="Times New Roman"/>
              </w:rPr>
              <w:t>个垃圾收集点（与公厕合建）。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临桂新区垃圾转运站</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w:t>
            </w:r>
            <w:r>
              <w:rPr>
                <w:rStyle w:val="104"/>
              </w:rPr>
              <w:t>8</w:t>
            </w:r>
            <w:r>
              <w:rPr>
                <w:rStyle w:val="103"/>
                <w:rFonts w:hint="default" w:ascii="Times New Roman" w:hAnsi="Times New Roman"/>
              </w:rPr>
              <w:t>座垃圾收集及中转站，配置</w:t>
            </w:r>
            <w:r>
              <w:rPr>
                <w:rStyle w:val="104"/>
              </w:rPr>
              <w:t>13</w:t>
            </w:r>
            <w:r>
              <w:rPr>
                <w:rStyle w:val="103"/>
                <w:rFonts w:hint="default" w:ascii="Times New Roman" w:hAnsi="Times New Roman"/>
              </w:rPr>
              <w:t>辆密封运输车、</w:t>
            </w:r>
            <w:r>
              <w:rPr>
                <w:rStyle w:val="104"/>
              </w:rPr>
              <w:t>25</w:t>
            </w:r>
            <w:r>
              <w:rPr>
                <w:rStyle w:val="103"/>
                <w:rFonts w:hint="default" w:ascii="Times New Roman" w:hAnsi="Times New Roman"/>
              </w:rPr>
              <w:t>套压缩箱。建设</w:t>
            </w:r>
            <w:r>
              <w:rPr>
                <w:rStyle w:val="104"/>
              </w:rPr>
              <w:t>6</w:t>
            </w:r>
            <w:r>
              <w:rPr>
                <w:rStyle w:val="103"/>
                <w:rFonts w:hint="default" w:ascii="Times New Roman" w:hAnsi="Times New Roman"/>
              </w:rPr>
              <w:t>座小型垃圾转运站，设计规模约为</w:t>
            </w:r>
            <w:r>
              <w:rPr>
                <w:rStyle w:val="104"/>
              </w:rPr>
              <w:t>50t/d</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900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临桂区宛田瑶族乡垃圾转运系统工程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日处理垃圾</w:t>
            </w:r>
            <w:r>
              <w:rPr>
                <w:rStyle w:val="104"/>
              </w:rPr>
              <w:t>20</w:t>
            </w:r>
            <w:r>
              <w:rPr>
                <w:rStyle w:val="103"/>
                <w:rFonts w:hint="default" w:ascii="Times New Roman" w:hAnsi="Times New Roman"/>
              </w:rPr>
              <w:t>吨的垃圾转运站一座，垃圾收集点</w:t>
            </w:r>
            <w:r>
              <w:rPr>
                <w:rStyle w:val="104"/>
              </w:rPr>
              <w:t>15</w:t>
            </w:r>
            <w:r>
              <w:rPr>
                <w:rStyle w:val="103"/>
                <w:rFonts w:hint="default" w:ascii="Times New Roman" w:hAnsi="Times New Roman"/>
              </w:rPr>
              <w:t>个。</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临桂区黄沙瑶族乡垃圾转运系统工程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建设日处理垃圾</w:t>
            </w:r>
            <w:r>
              <w:rPr>
                <w:rStyle w:val="104"/>
              </w:rPr>
              <w:t>20</w:t>
            </w:r>
            <w:r>
              <w:rPr>
                <w:rStyle w:val="103"/>
                <w:rFonts w:hint="default" w:ascii="Times New Roman" w:hAnsi="Times New Roman"/>
              </w:rPr>
              <w:t>吨的垃圾转运站一座，垃圾收集点</w:t>
            </w:r>
            <w:r>
              <w:rPr>
                <w:rStyle w:val="104"/>
              </w:rPr>
              <w:t>15</w:t>
            </w:r>
            <w:r>
              <w:rPr>
                <w:rStyle w:val="103"/>
                <w:rFonts w:hint="default" w:ascii="Times New Roman" w:hAnsi="Times New Roman"/>
              </w:rPr>
              <w:t>个。</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临桂区会仙镇村屯生活垃圾处理设施建设</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16</w:t>
            </w:r>
            <w:r>
              <w:rPr>
                <w:rStyle w:val="103"/>
                <w:rFonts w:hint="default" w:ascii="Times New Roman" w:hAnsi="Times New Roman"/>
              </w:rPr>
              <w:t>个村级垃圾处理设施。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128</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临桂区茶洞乡垃圾转运系统工程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w:t>
            </w:r>
            <w:r>
              <w:rPr>
                <w:rStyle w:val="104"/>
              </w:rPr>
              <w:t>1</w:t>
            </w:r>
            <w:r>
              <w:rPr>
                <w:rStyle w:val="103"/>
                <w:rFonts w:hint="default" w:ascii="Times New Roman" w:hAnsi="Times New Roman"/>
              </w:rPr>
              <w:t>座日转运量</w:t>
            </w:r>
            <w:r>
              <w:rPr>
                <w:rStyle w:val="104"/>
              </w:rPr>
              <w:t>8</w:t>
            </w:r>
            <w:r>
              <w:rPr>
                <w:rStyle w:val="103"/>
                <w:rFonts w:hint="default" w:ascii="Times New Roman" w:hAnsi="Times New Roman"/>
              </w:rPr>
              <w:t>吨垃圾转运站、</w:t>
            </w:r>
            <w:r>
              <w:rPr>
                <w:rStyle w:val="104"/>
              </w:rPr>
              <w:t>6</w:t>
            </w:r>
            <w:r>
              <w:rPr>
                <w:rStyle w:val="103"/>
                <w:rFonts w:hint="default" w:ascii="Times New Roman" w:hAnsi="Times New Roman"/>
              </w:rPr>
              <w:t>个垃圾收集点（与公厕合建）。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雁山区美丽乡村垃圾收集转运及生活污水排放治理项目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对大埠乡</w:t>
            </w:r>
            <w:r>
              <w:rPr>
                <w:rStyle w:val="104"/>
              </w:rPr>
              <w:t>11</w:t>
            </w:r>
            <w:r>
              <w:rPr>
                <w:rStyle w:val="103"/>
                <w:rFonts w:hint="default" w:ascii="Times New Roman" w:hAnsi="Times New Roman"/>
              </w:rPr>
              <w:t>个村委及柘木</w:t>
            </w:r>
            <w:r>
              <w:rPr>
                <w:rStyle w:val="104"/>
              </w:rPr>
              <w:t>8</w:t>
            </w:r>
            <w:r>
              <w:rPr>
                <w:rStyle w:val="103"/>
                <w:rFonts w:hint="default" w:ascii="Times New Roman" w:hAnsi="Times New Roman"/>
              </w:rPr>
              <w:t>个村委实施农村污水和垃圾处理设施建设（全区所有自然村解决铁皮垃圾桶）。</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雁山区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象山区环卫垃圾收运系统</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规划建设面积</w:t>
            </w:r>
            <w:r>
              <w:rPr>
                <w:rStyle w:val="104"/>
              </w:rPr>
              <w:t>6476</w:t>
            </w:r>
            <w:r>
              <w:rPr>
                <w:rStyle w:val="103"/>
                <w:rFonts w:hint="default" w:ascii="Times New Roman" w:hAnsi="Times New Roman"/>
              </w:rPr>
              <w:t>平方米（不含停车场）。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2700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象山区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龙胜县泗水乡周家村农村环境连片整治项目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日处理生活垃圾</w:t>
            </w:r>
            <w:r>
              <w:rPr>
                <w:rStyle w:val="104"/>
              </w:rPr>
              <w:t>40</w:t>
            </w:r>
            <w:r>
              <w:rPr>
                <w:rStyle w:val="103"/>
                <w:rFonts w:hint="default" w:ascii="Times New Roman" w:hAnsi="Times New Roman"/>
              </w:rPr>
              <w:t>吨，库容</w:t>
            </w:r>
            <w:r>
              <w:rPr>
                <w:rStyle w:val="104"/>
              </w:rPr>
              <w:t>40</w:t>
            </w:r>
            <w:r>
              <w:rPr>
                <w:rStyle w:val="103"/>
                <w:rFonts w:hint="default" w:ascii="Times New Roman" w:hAnsi="Times New Roman"/>
              </w:rPr>
              <w:t>万m</w:t>
            </w:r>
            <w:r>
              <w:rPr>
                <w:rStyle w:val="103"/>
                <w:rFonts w:hint="default" w:ascii="Times New Roman" w:hAnsi="Times New Roman"/>
                <w:vertAlign w:val="superscript"/>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平乐县村级垃圾收集处理设施改造升级项目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建设垃圾池</w:t>
            </w:r>
            <w:r>
              <w:rPr>
                <w:rStyle w:val="104"/>
              </w:rPr>
              <w:t>2858</w:t>
            </w:r>
            <w:r>
              <w:rPr>
                <w:rStyle w:val="103"/>
                <w:rFonts w:hint="default" w:ascii="Times New Roman" w:hAnsi="Times New Roman"/>
              </w:rPr>
              <w:t>座，购置垃圾车</w:t>
            </w:r>
            <w:r>
              <w:rPr>
                <w:rStyle w:val="104"/>
              </w:rPr>
              <w:t>2858</w:t>
            </w:r>
            <w:r>
              <w:rPr>
                <w:rStyle w:val="103"/>
                <w:rFonts w:hint="default" w:ascii="Times New Roman" w:hAnsi="Times New Roman"/>
              </w:rPr>
              <w:t>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平乐县镇级垃圾转运站项目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w:t>
            </w:r>
            <w:r>
              <w:rPr>
                <w:rStyle w:val="104"/>
              </w:rPr>
              <w:t>350</w:t>
            </w:r>
            <w:r>
              <w:rPr>
                <w:rStyle w:val="103"/>
                <w:rFonts w:hint="default" w:ascii="Times New Roman" w:hAnsi="Times New Roman"/>
              </w:rPr>
              <w:t>平方米转运站</w:t>
            </w:r>
            <w:r>
              <w:rPr>
                <w:rStyle w:val="104"/>
              </w:rPr>
              <w:t>7</w:t>
            </w:r>
            <w:r>
              <w:rPr>
                <w:rStyle w:val="103"/>
                <w:rFonts w:hint="default" w:ascii="Times New Roman" w:hAnsi="Times New Roman"/>
              </w:rPr>
              <w:t>座，购置日处理</w:t>
            </w:r>
            <w:r>
              <w:rPr>
                <w:rStyle w:val="104"/>
              </w:rPr>
              <w:t>30</w:t>
            </w:r>
            <w:r>
              <w:rPr>
                <w:rStyle w:val="103"/>
                <w:rFonts w:hint="default" w:ascii="Times New Roman" w:hAnsi="Times New Roman"/>
              </w:rPr>
              <w:t>吨转运设备</w:t>
            </w:r>
            <w:r>
              <w:rPr>
                <w:rStyle w:val="104"/>
              </w:rPr>
              <w:t>7</w:t>
            </w:r>
            <w:r>
              <w:rPr>
                <w:rStyle w:val="103"/>
                <w:rFonts w:hint="default" w:ascii="Times New Roman" w:hAnsi="Times New Roman"/>
              </w:rPr>
              <w:t>套，</w:t>
            </w:r>
            <w:r>
              <w:rPr>
                <w:rStyle w:val="104"/>
              </w:rPr>
              <w:t>8</w:t>
            </w:r>
            <w:r>
              <w:rPr>
                <w:rStyle w:val="103"/>
                <w:rFonts w:hint="default" w:ascii="Times New Roman" w:hAnsi="Times New Roman"/>
              </w:rPr>
              <w:t>吨压缩车</w:t>
            </w:r>
            <w:r>
              <w:rPr>
                <w:rStyle w:val="104"/>
              </w:rPr>
              <w:t>7</w:t>
            </w:r>
            <w:r>
              <w:rPr>
                <w:rStyle w:val="103"/>
                <w:rFonts w:hint="default" w:ascii="Times New Roman" w:hAnsi="Times New Roman"/>
              </w:rPr>
              <w:t>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平乐镇片（老福兴乡、老长滩乡）垃圾处理中心</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年垃圾处理</w:t>
            </w:r>
            <w:r>
              <w:rPr>
                <w:rStyle w:val="104"/>
              </w:rPr>
              <w:t>1400</w:t>
            </w:r>
            <w:r>
              <w:rPr>
                <w:rStyle w:val="103"/>
                <w:rFonts w:hint="default" w:ascii="Times New Roman" w:hAnsi="Times New Roman"/>
              </w:rPr>
              <w:t>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平乐县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永福县堡里乡村庄生活垃圾收集、转运设施</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重点村庄生活垃圾收集、转运设施。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220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桂林市永福县百寿镇垃圾焚烧场</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日焚烧</w:t>
            </w:r>
            <w:r>
              <w:rPr>
                <w:rStyle w:val="104"/>
              </w:rPr>
              <w:t>100</w:t>
            </w:r>
            <w:r>
              <w:rPr>
                <w:rStyle w:val="103"/>
                <w:rFonts w:hint="default" w:ascii="Times New Roman" w:hAnsi="Times New Roman"/>
              </w:rPr>
              <w:t>吨垃圾及附属设施。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永福县乡镇垃圾处理工程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新建垃圾处理场、垃圾收集点及相应设备。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桂林市永福县百寿镇村级垃圾处理</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百寿</w:t>
            </w:r>
            <w:r>
              <w:rPr>
                <w:rStyle w:val="104"/>
              </w:rPr>
              <w:t>11</w:t>
            </w:r>
            <w:r>
              <w:rPr>
                <w:rStyle w:val="103"/>
                <w:rFonts w:hint="default" w:ascii="Times New Roman" w:hAnsi="Times New Roman"/>
              </w:rPr>
              <w:t>个村垃圾处理建设。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880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永福县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恭城县农村垃圾处理工程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虎尾园区、三江、龙虎、观音三个项目点，总处理量为</w:t>
            </w:r>
            <w:r>
              <w:rPr>
                <w:rStyle w:val="104"/>
              </w:rPr>
              <w:t>100</w:t>
            </w:r>
            <w:r>
              <w:rPr>
                <w:rStyle w:val="103"/>
                <w:rFonts w:hint="default" w:ascii="Times New Roman" w:hAnsi="Times New Roman"/>
              </w:rPr>
              <w:t>吨</w:t>
            </w:r>
            <w:r>
              <w:rPr>
                <w:rStyle w:val="104"/>
              </w:rPr>
              <w:t>/</w:t>
            </w:r>
            <w:r>
              <w:rPr>
                <w:rStyle w:val="103"/>
                <w:rFonts w:hint="default" w:ascii="Times New Roman" w:hAnsi="Times New Roman"/>
              </w:rPr>
              <w:t>日，以及</w:t>
            </w:r>
            <w:r>
              <w:rPr>
                <w:rStyle w:val="104"/>
              </w:rPr>
              <w:t>12</w:t>
            </w:r>
            <w:r>
              <w:rPr>
                <w:rStyle w:val="103"/>
                <w:rFonts w:hint="default" w:ascii="Times New Roman" w:hAnsi="Times New Roman"/>
              </w:rPr>
              <w:t>个村级处理中心。</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6600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恭城县农村有机垃圾户用处理沼气池</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“一池三改”</w:t>
            </w:r>
            <w:r>
              <w:rPr>
                <w:rStyle w:val="104"/>
              </w:rPr>
              <w:t>2400</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840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恭城县旧病沼池修复</w:t>
            </w:r>
          </w:p>
        </w:tc>
        <w:tc>
          <w:tcPr>
            <w:tcW w:w="6520" w:type="dxa"/>
            <w:shd w:val="clear" w:color="auto" w:fill="auto"/>
            <w:vAlign w:val="center"/>
          </w:tcPr>
          <w:p>
            <w:pPr>
              <w:widowControl/>
              <w:spacing w:line="276" w:lineRule="auto"/>
              <w:ind w:firstLine="0" w:firstLineChars="0"/>
              <w:textAlignment w:val="center"/>
              <w:rPr>
                <w:color w:val="000000"/>
                <w:sz w:val="21"/>
                <w:szCs w:val="21"/>
              </w:rPr>
            </w:pPr>
            <w:r>
              <w:rPr>
                <w:rStyle w:val="104"/>
              </w:rPr>
              <w:t>8000</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640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恭城县养殖粪污集中处理</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养殖粪污集中处理</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灵川县潮田乡垃圾转运站</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新建集镇转运站，成套压缩及转运车。</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179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灵川县海洋乡集镇、小平乐、海洋村、大庙塘村等四个垃圾处理项目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新建垃圾处理中心、购买收集、装运设备等。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525</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灵川县八里街生活垃圾转运站项目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建设一座两层的垃圾压缩设备房安装</w:t>
            </w:r>
            <w:r>
              <w:rPr>
                <w:rStyle w:val="104"/>
              </w:rPr>
              <w:t>2</w:t>
            </w:r>
            <w:r>
              <w:rPr>
                <w:rStyle w:val="103"/>
                <w:rFonts w:hint="default" w:ascii="Times New Roman" w:hAnsi="Times New Roman"/>
              </w:rPr>
              <w:t>套垂直式压缩设备，配置</w:t>
            </w:r>
            <w:r>
              <w:rPr>
                <w:rStyle w:val="104"/>
              </w:rPr>
              <w:t>2</w:t>
            </w:r>
            <w:r>
              <w:rPr>
                <w:rStyle w:val="103"/>
                <w:rFonts w:hint="default" w:ascii="Times New Roman" w:hAnsi="Times New Roman"/>
              </w:rPr>
              <w:t>台自卸式垃圾转运车，总建筑面积</w:t>
            </w:r>
            <w:r>
              <w:rPr>
                <w:rStyle w:val="104"/>
              </w:rPr>
              <w:t>600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，建设一栋六层的含环卫工具和车辆用房、管理人员办公室、环卫工人休息室的综合楼占地面积</w:t>
            </w:r>
            <w:r>
              <w:rPr>
                <w:rStyle w:val="104"/>
              </w:rPr>
              <w:t>300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，总建筑面积</w:t>
            </w:r>
            <w:r>
              <w:rPr>
                <w:rStyle w:val="104"/>
              </w:rPr>
              <w:t>1800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810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灵川县三街镇垃圾中转站环境保护工程项目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新建一座垃圾中转站，处理全镇垃圾。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灵川县灵川镇物流新区生活垃圾转运站项目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建设一座两层的垃圾压缩设备房安装</w:t>
            </w:r>
            <w:r>
              <w:rPr>
                <w:rStyle w:val="104"/>
              </w:rPr>
              <w:t>2</w:t>
            </w:r>
            <w:r>
              <w:rPr>
                <w:rStyle w:val="103"/>
                <w:rFonts w:hint="default" w:ascii="Times New Roman" w:hAnsi="Times New Roman"/>
              </w:rPr>
              <w:t>套垂直式压缩设备，配置</w:t>
            </w:r>
            <w:r>
              <w:rPr>
                <w:rStyle w:val="104"/>
              </w:rPr>
              <w:t>2</w:t>
            </w:r>
            <w:r>
              <w:rPr>
                <w:rStyle w:val="103"/>
                <w:rFonts w:hint="default" w:ascii="Times New Roman" w:hAnsi="Times New Roman"/>
              </w:rPr>
              <w:t>台自卸式垃圾转运车，占地面积为</w:t>
            </w:r>
            <w:r>
              <w:rPr>
                <w:rStyle w:val="104"/>
              </w:rPr>
              <w:t>300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，总建筑面积</w:t>
            </w:r>
            <w:r>
              <w:rPr>
                <w:rStyle w:val="104"/>
              </w:rPr>
              <w:t>600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，建设一栋四层的含环卫工具和车辆用房、管理人员办公室、环卫工人休息室的综合楼占地面积</w:t>
            </w:r>
            <w:r>
              <w:rPr>
                <w:rStyle w:val="104"/>
              </w:rPr>
              <w:t>300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，总建筑面积</w:t>
            </w:r>
            <w:r>
              <w:rPr>
                <w:rStyle w:val="104"/>
              </w:rPr>
              <w:t>1200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灵川县灵北生活垃圾中转站提升改造项目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项目占地面积</w:t>
            </w:r>
            <w:r>
              <w:rPr>
                <w:rStyle w:val="104"/>
              </w:rPr>
              <w:t>600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，建设面积</w:t>
            </w:r>
            <w:r>
              <w:rPr>
                <w:rStyle w:val="104"/>
              </w:rPr>
              <w:t>1200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，主要建设生活垃圾压缩设备房一栋两层及配套设施两套。</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灵川县潭下镇农村垃圾处理项目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按户分类、村收集、镇转运、县处理的模式，环卫站及垃圾中转站建设</w:t>
            </w:r>
            <w:r>
              <w:rPr>
                <w:rStyle w:val="104"/>
              </w:rPr>
              <w:t>200</w:t>
            </w:r>
            <w:r>
              <w:rPr>
                <w:rStyle w:val="103"/>
                <w:rFonts w:hint="default" w:ascii="Times New Roman" w:hAnsi="Times New Roman"/>
              </w:rPr>
              <w:t>万；垃圾清运及转运车（</w:t>
            </w:r>
            <w:r>
              <w:rPr>
                <w:rStyle w:val="104"/>
              </w:rPr>
              <w:t>150</w:t>
            </w:r>
            <w:r>
              <w:rPr>
                <w:rStyle w:val="103"/>
                <w:rFonts w:hint="default" w:ascii="Times New Roman" w:hAnsi="Times New Roman"/>
              </w:rPr>
              <w:t>万），</w:t>
            </w:r>
            <w:r>
              <w:rPr>
                <w:rStyle w:val="104"/>
              </w:rPr>
              <w:t>200</w:t>
            </w:r>
            <w:r>
              <w:rPr>
                <w:rStyle w:val="103"/>
                <w:rFonts w:hint="default" w:ascii="Times New Roman" w:hAnsi="Times New Roman"/>
              </w:rPr>
              <w:t>个垃圾箱（</w:t>
            </w:r>
            <w:r>
              <w:rPr>
                <w:rStyle w:val="104"/>
              </w:rPr>
              <w:t>200</w:t>
            </w:r>
            <w:r>
              <w:rPr>
                <w:rStyle w:val="103"/>
                <w:rFonts w:hint="default" w:ascii="Times New Roman" w:hAnsi="Times New Roman"/>
              </w:rPr>
              <w:t>×</w:t>
            </w:r>
            <w:r>
              <w:rPr>
                <w:rStyle w:val="104"/>
              </w:rPr>
              <w:t>0.8=160</w:t>
            </w:r>
            <w:r>
              <w:rPr>
                <w:rStyle w:val="103"/>
                <w:rFonts w:hint="default" w:ascii="Times New Roman" w:hAnsi="Times New Roman"/>
              </w:rPr>
              <w:t>万）；另建</w:t>
            </w:r>
            <w:r>
              <w:rPr>
                <w:rStyle w:val="104"/>
              </w:rPr>
              <w:t>150</w:t>
            </w:r>
            <w:r>
              <w:rPr>
                <w:rStyle w:val="103"/>
                <w:rFonts w:hint="default" w:ascii="Times New Roman" w:hAnsi="Times New Roman"/>
              </w:rPr>
              <w:t>个焚烧炉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810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灵川县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1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荔浦县城生活垃圾处理扩建工程（二期）</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该项目建设用地</w:t>
            </w:r>
            <w:r>
              <w:rPr>
                <w:rStyle w:val="104"/>
              </w:rPr>
              <w:t>370</w:t>
            </w:r>
            <w:r>
              <w:rPr>
                <w:rStyle w:val="103"/>
                <w:rFonts w:hint="default" w:ascii="Times New Roman" w:hAnsi="Times New Roman"/>
              </w:rPr>
              <w:t>亩，库容量</w:t>
            </w:r>
            <w:r>
              <w:rPr>
                <w:rStyle w:val="104"/>
              </w:rPr>
              <w:t>187</w:t>
            </w:r>
            <w:r>
              <w:rPr>
                <w:rStyle w:val="103"/>
                <w:rFonts w:hint="default" w:ascii="Times New Roman" w:hAnsi="Times New Roman"/>
              </w:rPr>
              <w:t>万</w:t>
            </w:r>
            <w:r>
              <w:rPr>
                <w:rStyle w:val="104"/>
              </w:rPr>
              <w:t>m</w:t>
            </w:r>
            <w:r>
              <w:rPr>
                <w:rStyle w:val="105"/>
              </w:rPr>
              <w:t>3</w:t>
            </w:r>
            <w:r>
              <w:rPr>
                <w:rStyle w:val="103"/>
                <w:rFonts w:hint="default" w:ascii="Times New Roman" w:hAnsi="Times New Roman"/>
              </w:rPr>
              <w:t>，用地</w:t>
            </w:r>
            <w:r>
              <w:rPr>
                <w:rStyle w:val="104"/>
              </w:rPr>
              <w:t>154</w:t>
            </w:r>
            <w:r>
              <w:rPr>
                <w:rStyle w:val="103"/>
                <w:rFonts w:hint="default" w:ascii="Times New Roman" w:hAnsi="Times New Roman"/>
              </w:rPr>
              <w:t>亩，垃圾处理场的日处理规模为</w:t>
            </w:r>
            <w:r>
              <w:rPr>
                <w:rStyle w:val="104"/>
              </w:rPr>
              <w:t>210</w:t>
            </w:r>
            <w:r>
              <w:rPr>
                <w:rStyle w:val="103"/>
                <w:rFonts w:hint="default" w:ascii="Times New Roman" w:hAnsi="Times New Roman"/>
              </w:rPr>
              <w:t>吨（其中填埋处理</w:t>
            </w:r>
            <w:r>
              <w:rPr>
                <w:rStyle w:val="104"/>
              </w:rPr>
              <w:t>170</w:t>
            </w:r>
            <w:r>
              <w:rPr>
                <w:rStyle w:val="103"/>
                <w:rFonts w:hint="default" w:ascii="Times New Roman" w:hAnsi="Times New Roman"/>
              </w:rPr>
              <w:t>吨，焚烧处理</w:t>
            </w:r>
            <w:r>
              <w:rPr>
                <w:rStyle w:val="104"/>
              </w:rPr>
              <w:t>40</w:t>
            </w:r>
            <w:r>
              <w:rPr>
                <w:rStyle w:val="103"/>
                <w:rFonts w:hint="default" w:ascii="Times New Roman" w:hAnsi="Times New Roman"/>
              </w:rPr>
              <w:t>吨），使用年限可达</w:t>
            </w:r>
            <w:r>
              <w:rPr>
                <w:rStyle w:val="104"/>
              </w:rPr>
              <w:t>20</w:t>
            </w:r>
            <w:r>
              <w:rPr>
                <w:rStyle w:val="103"/>
                <w:rFonts w:hint="default" w:ascii="Times New Roman" w:hAnsi="Times New Roman"/>
              </w:rPr>
              <w:t>年。主要建设内容为生产管理区工程、填埋区工程、渗沥液处理区工程、垃圾焚烧工程及相关的配套设施。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荔浦县生活垃圾转运站建设工程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荔浦县</w:t>
            </w:r>
            <w:r>
              <w:rPr>
                <w:rStyle w:val="104"/>
              </w:rPr>
              <w:t>13</w:t>
            </w:r>
            <w:r>
              <w:rPr>
                <w:rStyle w:val="103"/>
                <w:rFonts w:hint="default" w:ascii="Times New Roman" w:hAnsi="Times New Roman"/>
              </w:rPr>
              <w:t>个乡镇的生活垃圾转运站建设及配套设施。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荔浦县乡镇垃圾处理工程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新建荔浦县荔城镇、青山镇、新坪镇、东昌镇、杜莫镇、大塘镇、双江镇、花篢镇、龙怀乡、茶城乡、蒲芦乡等</w:t>
            </w:r>
            <w:r>
              <w:rPr>
                <w:rStyle w:val="104"/>
              </w:rPr>
              <w:t>13</w:t>
            </w:r>
            <w:r>
              <w:rPr>
                <w:rStyle w:val="103"/>
                <w:rFonts w:hint="default" w:ascii="Times New Roman" w:hAnsi="Times New Roman"/>
              </w:rPr>
              <w:t>个乡镇垃圾处理工程。</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荔浦县乡镇垃圾中转站建设项目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建设垃圾中转站</w:t>
            </w:r>
            <w:r>
              <w:rPr>
                <w:rStyle w:val="104"/>
              </w:rPr>
              <w:t>15</w:t>
            </w:r>
            <w:r>
              <w:rPr>
                <w:rStyle w:val="103"/>
                <w:rFonts w:hint="default" w:ascii="Times New Roman" w:hAnsi="Times New Roman"/>
              </w:rPr>
              <w:t>个，总建筑面积</w:t>
            </w:r>
            <w:r>
              <w:rPr>
                <w:rStyle w:val="104"/>
              </w:rPr>
              <w:t>8500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，及相关配套设施，购置垃圾运输车辆</w:t>
            </w:r>
            <w:r>
              <w:rPr>
                <w:rStyle w:val="104"/>
              </w:rPr>
              <w:t>6</w:t>
            </w:r>
            <w:r>
              <w:rPr>
                <w:rStyle w:val="103"/>
                <w:rFonts w:hint="default" w:ascii="Times New Roman" w:hAnsi="Times New Roman"/>
              </w:rPr>
              <w:t>台及垃圾收集箱等。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3150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189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龙胜县行政村垃圾收集、焚烧池建设项目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w:t>
            </w:r>
            <w:r>
              <w:rPr>
                <w:rStyle w:val="104"/>
              </w:rPr>
              <w:t>119</w:t>
            </w:r>
            <w:r>
              <w:rPr>
                <w:rStyle w:val="103"/>
                <w:rFonts w:hint="default" w:ascii="Times New Roman" w:hAnsi="Times New Roman"/>
              </w:rPr>
              <w:t>个行政村建设</w:t>
            </w:r>
            <w:r>
              <w:rPr>
                <w:rStyle w:val="104"/>
              </w:rPr>
              <w:t>1800</w:t>
            </w:r>
            <w:r>
              <w:rPr>
                <w:rStyle w:val="103"/>
                <w:rFonts w:hint="default" w:ascii="Times New Roman" w:hAnsi="Times New Roman"/>
              </w:rPr>
              <w:t>个垃圾收集池。垃圾焚烧池</w:t>
            </w:r>
            <w:r>
              <w:rPr>
                <w:rStyle w:val="104"/>
              </w:rPr>
              <w:t>300</w:t>
            </w:r>
            <w:r>
              <w:rPr>
                <w:rStyle w:val="103"/>
                <w:rFonts w:hint="default" w:ascii="Times New Roman" w:hAnsi="Times New Roman"/>
              </w:rPr>
              <w:t>个。</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龙胜县龙胜镇勒黄村厂背垃圾中转站及环卫车辆停车场建设项目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占地</w:t>
            </w:r>
            <w:r>
              <w:rPr>
                <w:rStyle w:val="104"/>
              </w:rPr>
              <w:t>5</w:t>
            </w:r>
            <w:r>
              <w:rPr>
                <w:rStyle w:val="103"/>
                <w:rFonts w:hint="default" w:ascii="Times New Roman" w:hAnsi="Times New Roman"/>
              </w:rPr>
              <w:t>亩，日处理生活垃圾</w:t>
            </w:r>
            <w:r>
              <w:rPr>
                <w:rStyle w:val="104"/>
              </w:rPr>
              <w:t>40</w:t>
            </w:r>
            <w:r>
              <w:rPr>
                <w:rStyle w:val="103"/>
                <w:rFonts w:hint="default" w:ascii="Times New Roman" w:hAnsi="Times New Roman"/>
              </w:rPr>
              <w:t>吨，配环卫车辆停车场。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龙胜县县城拉麻垃圾二期建设项目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日处理生活垃圾</w:t>
            </w:r>
            <w:r>
              <w:rPr>
                <w:rStyle w:val="104"/>
              </w:rPr>
              <w:t>40</w:t>
            </w:r>
            <w:r>
              <w:rPr>
                <w:rStyle w:val="103"/>
                <w:rFonts w:hint="default" w:ascii="Times New Roman" w:hAnsi="Times New Roman"/>
              </w:rPr>
              <w:t>吨，库容</w:t>
            </w:r>
            <w:r>
              <w:rPr>
                <w:rStyle w:val="104"/>
              </w:rPr>
              <w:t>60</w:t>
            </w:r>
            <w:r>
              <w:rPr>
                <w:rStyle w:val="103"/>
                <w:rFonts w:hint="default" w:ascii="Times New Roman" w:hAnsi="Times New Roman"/>
              </w:rPr>
              <w:t>万</w:t>
            </w:r>
            <w:r>
              <w:rPr>
                <w:rStyle w:val="104"/>
              </w:rPr>
              <w:t>m</w:t>
            </w:r>
            <w:r>
              <w:rPr>
                <w:rStyle w:val="105"/>
              </w:rPr>
              <w:t>3</w:t>
            </w:r>
            <w:r>
              <w:rPr>
                <w:rStyle w:val="103"/>
                <w:rFonts w:hint="default" w:ascii="Times New Roman" w:hAnsi="Times New Roman"/>
              </w:rPr>
              <w:t>，采用分区卫生填埋方式。建设内容有：库区边坡修整与防渗处理，地下水和渗滤液导排管铺设等。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6000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龙胜县乡镇垃圾中转站建设项目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新建生活垃圾压缩转运站</w:t>
            </w:r>
            <w:r>
              <w:rPr>
                <w:rStyle w:val="104"/>
              </w:rPr>
              <w:t>10</w:t>
            </w:r>
            <w:r>
              <w:rPr>
                <w:rStyle w:val="103"/>
                <w:rFonts w:hint="default" w:ascii="Times New Roman" w:hAnsi="Times New Roman"/>
              </w:rPr>
              <w:t>座，垂直压缩设备、洒水车、清扫车</w:t>
            </w:r>
            <w:r>
              <w:rPr>
                <w:rStyle w:val="104"/>
              </w:rPr>
              <w:t>10</w:t>
            </w:r>
            <w:r>
              <w:rPr>
                <w:rStyle w:val="103"/>
                <w:rFonts w:hint="default" w:ascii="Times New Roman" w:hAnsi="Times New Roman"/>
              </w:rPr>
              <w:t>套。新建乡镇垃圾收集池</w:t>
            </w:r>
            <w:r>
              <w:rPr>
                <w:rStyle w:val="104"/>
              </w:rPr>
              <w:t>50</w:t>
            </w:r>
            <w:r>
              <w:rPr>
                <w:rStyle w:val="103"/>
                <w:rFonts w:hint="default" w:ascii="Times New Roman" w:hAnsi="Times New Roman"/>
              </w:rPr>
              <w:t>个。</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龙胜县</w:t>
            </w:r>
            <w:r>
              <w:rPr>
                <w:rStyle w:val="104"/>
              </w:rPr>
              <w:t>119</w:t>
            </w:r>
            <w:r>
              <w:rPr>
                <w:rStyle w:val="103"/>
                <w:rFonts w:hint="default" w:ascii="Times New Roman" w:hAnsi="Times New Roman"/>
              </w:rPr>
              <w:t>个行政村垃圾收集池建设项目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龙胜县</w:t>
            </w:r>
            <w:r>
              <w:rPr>
                <w:rStyle w:val="104"/>
              </w:rPr>
              <w:t>119</w:t>
            </w:r>
            <w:r>
              <w:rPr>
                <w:rStyle w:val="103"/>
                <w:rFonts w:hint="default" w:ascii="Times New Roman" w:hAnsi="Times New Roman"/>
              </w:rPr>
              <w:t>个行政村垃圾收集池建设项目。</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龙胜县县城弃土场</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餐饮业餐厨垃圾收运和处置体系。</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阳朔县白沙镇垃圾综合处理建设项目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修建垃圾收集转运厂房一座，垃圾初处理设施设备购置，垃圾转运车、垃圾压缩机等设备购买。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阳朔县白沙镇村屯垃圾收集、处理设施改造升级项目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在</w:t>
            </w:r>
            <w:r>
              <w:rPr>
                <w:rStyle w:val="104"/>
              </w:rPr>
              <w:t>15</w:t>
            </w:r>
            <w:r>
              <w:rPr>
                <w:rStyle w:val="103"/>
                <w:rFonts w:hint="default" w:ascii="Times New Roman" w:hAnsi="Times New Roman"/>
              </w:rPr>
              <w:t>个行政村建设垃圾收集池，并对现有的垃圾收集、处理、转运设施进行改造升级。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全州县乡镇生活垃圾中转站及焚烧场</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全县乡镇配置</w:t>
            </w:r>
            <w:r>
              <w:rPr>
                <w:rStyle w:val="104"/>
              </w:rPr>
              <w:t>3</w:t>
            </w:r>
            <w:r>
              <w:rPr>
                <w:rStyle w:val="103"/>
                <w:rFonts w:hint="default" w:ascii="Times New Roman" w:hAnsi="Times New Roman"/>
              </w:rPr>
              <w:t>台</w:t>
            </w:r>
            <w:r>
              <w:rPr>
                <w:rStyle w:val="104"/>
              </w:rPr>
              <w:t>50</w:t>
            </w:r>
            <w:r>
              <w:rPr>
                <w:rStyle w:val="103"/>
                <w:rFonts w:hint="default" w:ascii="Times New Roman" w:hAnsi="Times New Roman"/>
              </w:rPr>
              <w:t>吨</w:t>
            </w:r>
            <w:r>
              <w:rPr>
                <w:rStyle w:val="104"/>
              </w:rPr>
              <w:t>/</w:t>
            </w:r>
            <w:r>
              <w:rPr>
                <w:rStyle w:val="103"/>
                <w:rFonts w:hint="default" w:ascii="Times New Roman" w:hAnsi="Times New Roman"/>
              </w:rPr>
              <w:t>日垃圾焚烧炉和</w:t>
            </w:r>
            <w:r>
              <w:rPr>
                <w:rStyle w:val="104"/>
              </w:rPr>
              <w:t>1</w:t>
            </w:r>
            <w:r>
              <w:rPr>
                <w:rStyle w:val="103"/>
                <w:rFonts w:hint="default" w:ascii="Times New Roman" w:hAnsi="Times New Roman"/>
              </w:rPr>
              <w:t>台</w:t>
            </w:r>
            <w:r>
              <w:rPr>
                <w:rStyle w:val="104"/>
              </w:rPr>
              <w:t>3</w:t>
            </w:r>
            <w:r>
              <w:rPr>
                <w:rStyle w:val="103"/>
                <w:rFonts w:hint="default" w:ascii="Times New Roman" w:hAnsi="Times New Roman"/>
              </w:rPr>
              <w:t>万</w:t>
            </w:r>
            <w:r>
              <w:rPr>
                <w:rStyle w:val="104"/>
              </w:rPr>
              <w:t>MW</w:t>
            </w:r>
            <w:r>
              <w:rPr>
                <w:rStyle w:val="103"/>
                <w:rFonts w:hint="default" w:ascii="Times New Roman" w:hAnsi="Times New Roman"/>
              </w:rPr>
              <w:t>发电机组，建设垃圾堆放场及生产工作用房和配套设施。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45000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全州县城区生活垃圾焚烧站</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配置</w:t>
            </w:r>
            <w:r>
              <w:rPr>
                <w:rStyle w:val="104"/>
              </w:rPr>
              <w:t>2</w:t>
            </w:r>
            <w:r>
              <w:rPr>
                <w:rStyle w:val="103"/>
                <w:rFonts w:hint="default" w:ascii="Times New Roman" w:hAnsi="Times New Roman"/>
              </w:rPr>
              <w:t>台</w:t>
            </w:r>
            <w:r>
              <w:rPr>
                <w:rStyle w:val="104"/>
              </w:rPr>
              <w:t>100</w:t>
            </w:r>
            <w:r>
              <w:rPr>
                <w:rStyle w:val="103"/>
                <w:rFonts w:hint="default" w:ascii="Times New Roman" w:hAnsi="Times New Roman"/>
              </w:rPr>
              <w:t>吨</w:t>
            </w:r>
            <w:r>
              <w:rPr>
                <w:rStyle w:val="104"/>
              </w:rPr>
              <w:t>/</w:t>
            </w:r>
            <w:r>
              <w:rPr>
                <w:rStyle w:val="103"/>
                <w:rFonts w:hint="default" w:ascii="Times New Roman" w:hAnsi="Times New Roman"/>
              </w:rPr>
              <w:t>日垃圾焚烧炉和</w:t>
            </w:r>
            <w:r>
              <w:rPr>
                <w:rStyle w:val="104"/>
              </w:rPr>
              <w:t>1</w:t>
            </w:r>
            <w:r>
              <w:rPr>
                <w:rStyle w:val="103"/>
                <w:rFonts w:hint="default" w:ascii="Times New Roman" w:hAnsi="Times New Roman"/>
              </w:rPr>
              <w:t>台</w:t>
            </w:r>
            <w:r>
              <w:rPr>
                <w:rStyle w:val="104"/>
              </w:rPr>
              <w:t>6</w:t>
            </w:r>
            <w:r>
              <w:rPr>
                <w:rStyle w:val="103"/>
                <w:rFonts w:hint="default" w:ascii="Times New Roman" w:hAnsi="Times New Roman"/>
              </w:rPr>
              <w:t>万</w:t>
            </w:r>
            <w:r>
              <w:rPr>
                <w:rStyle w:val="104"/>
              </w:rPr>
              <w:t>MW</w:t>
            </w:r>
            <w:r>
              <w:rPr>
                <w:rStyle w:val="103"/>
                <w:rFonts w:hint="default" w:ascii="Times New Roman" w:hAnsi="Times New Roman"/>
              </w:rPr>
              <w:t>发电机组，建设垃圾堆放场及生产工作用房和配套设施。</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7000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2018-2019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199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全州县医疗废弃物处置中心</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建设医疗废弃物县级处置中心</w:t>
            </w:r>
            <w:r>
              <w:rPr>
                <w:rStyle w:val="104"/>
              </w:rPr>
              <w:t>1</w:t>
            </w:r>
            <w:r>
              <w:rPr>
                <w:rStyle w:val="103"/>
                <w:rFonts w:hint="default" w:ascii="Times New Roman" w:hAnsi="Times New Roman"/>
              </w:rPr>
              <w:t>座。</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全州县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3913" w:type="dxa"/>
            <w:gridSpan w:val="2"/>
            <w:shd w:val="clear" w:color="auto" w:fill="auto"/>
            <w:vAlign w:val="center"/>
          </w:tcPr>
          <w:p>
            <w:pPr>
              <w:widowControl/>
              <w:spacing w:line="276" w:lineRule="auto"/>
              <w:ind w:firstLine="0" w:firstLineChars="0"/>
              <w:jc w:val="center"/>
              <w:textAlignment w:val="center"/>
              <w:rPr>
                <w:rFonts w:cs="仿宋"/>
                <w:b/>
                <w:color w:val="000000"/>
                <w:sz w:val="21"/>
                <w:szCs w:val="21"/>
              </w:rPr>
            </w:pPr>
            <w:r>
              <w:rPr>
                <w:rStyle w:val="101"/>
                <w:rFonts w:hint="default" w:ascii="Times New Roman" w:hAnsi="Times New Roman"/>
              </w:rPr>
              <w:t>（五）生态循环经济</w:t>
            </w:r>
          </w:p>
        </w:tc>
        <w:tc>
          <w:tcPr>
            <w:tcW w:w="6520"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15 项</w:t>
            </w:r>
          </w:p>
        </w:tc>
        <w:tc>
          <w:tcPr>
            <w:tcW w:w="992" w:type="dxa"/>
            <w:shd w:val="clear" w:color="auto" w:fill="auto"/>
            <w:vAlign w:val="center"/>
          </w:tcPr>
          <w:p>
            <w:pPr>
              <w:widowControl/>
              <w:spacing w:line="276" w:lineRule="auto"/>
              <w:ind w:firstLine="0" w:firstLineChars="0"/>
              <w:jc w:val="center"/>
              <w:textAlignment w:val="center"/>
              <w:rPr>
                <w:b/>
                <w:color w:val="000000"/>
                <w:sz w:val="21"/>
                <w:szCs w:val="21"/>
              </w:rPr>
            </w:pPr>
            <w:r>
              <w:rPr>
                <w:b/>
                <w:color w:val="000000"/>
                <w:kern w:val="0"/>
                <w:sz w:val="21"/>
                <w:szCs w:val="21"/>
              </w:rPr>
              <w:t>417792</w:t>
            </w:r>
          </w:p>
        </w:tc>
        <w:tc>
          <w:tcPr>
            <w:tcW w:w="1560" w:type="dxa"/>
            <w:shd w:val="clear" w:color="auto" w:fill="auto"/>
            <w:vAlign w:val="center"/>
          </w:tcPr>
          <w:p>
            <w:pPr>
              <w:widowControl/>
              <w:spacing w:line="276" w:lineRule="auto"/>
              <w:ind w:firstLine="0" w:firstLineChars="0"/>
              <w:jc w:val="center"/>
              <w:rPr>
                <w:rFonts w:cs="仿宋"/>
                <w:color w:val="000000"/>
                <w:sz w:val="21"/>
                <w:szCs w:val="21"/>
              </w:rPr>
            </w:pPr>
          </w:p>
        </w:tc>
        <w:tc>
          <w:tcPr>
            <w:tcW w:w="1134" w:type="dxa"/>
            <w:shd w:val="clear" w:color="auto" w:fill="auto"/>
            <w:vAlign w:val="center"/>
          </w:tcPr>
          <w:p>
            <w:pPr>
              <w:widowControl/>
              <w:spacing w:line="276" w:lineRule="auto"/>
              <w:ind w:firstLine="0" w:firstLineChars="0"/>
              <w:jc w:val="center"/>
              <w:rPr>
                <w:rFonts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5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桂林市电子废弃物及建筑垃圾处理设施建设工程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新建一座日均处理量为</w:t>
            </w:r>
            <w:r>
              <w:rPr>
                <w:rStyle w:val="104"/>
              </w:rPr>
              <w:t>12</w:t>
            </w:r>
            <w:r>
              <w:rPr>
                <w:rStyle w:val="103"/>
                <w:rFonts w:hint="default" w:ascii="Times New Roman" w:hAnsi="Times New Roman"/>
              </w:rPr>
              <w:t>吨的电子废弃物回收利用处置中心，建设内容包括建设电子垃圾；新建一套日处置总量为</w:t>
            </w:r>
            <w:r>
              <w:rPr>
                <w:rStyle w:val="104"/>
              </w:rPr>
              <w:t>2000</w:t>
            </w:r>
            <w:r>
              <w:rPr>
                <w:rStyle w:val="103"/>
                <w:rFonts w:hint="default" w:ascii="Times New Roman" w:hAnsi="Times New Roman"/>
              </w:rPr>
              <w:t>吨的建筑垃圾处理场。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2019-2020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桂林市垃圾分类试点及推广项目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全市选择若干个县区实施垃圾分类试点及推广</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2019-2020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桂林山口生活垃圾焚烧发电工程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日处理生活垃圾</w:t>
            </w:r>
            <w:r>
              <w:rPr>
                <w:rStyle w:val="104"/>
              </w:rPr>
              <w:t>1500</w:t>
            </w:r>
            <w:r>
              <w:rPr>
                <w:rStyle w:val="103"/>
                <w:rFonts w:hint="default" w:ascii="Times New Roman" w:hAnsi="Times New Roman"/>
              </w:rPr>
              <w:t>吨</w:t>
            </w:r>
            <w:r>
              <w:rPr>
                <w:rStyle w:val="104"/>
              </w:rPr>
              <w:t>/</w:t>
            </w:r>
            <w:r>
              <w:rPr>
                <w:rStyle w:val="103"/>
                <w:rFonts w:hint="default" w:ascii="Times New Roman" w:hAnsi="Times New Roman"/>
              </w:rPr>
              <w:t>日，</w:t>
            </w:r>
            <w:r>
              <w:rPr>
                <w:rStyle w:val="104"/>
              </w:rPr>
              <w:t>BOT</w:t>
            </w:r>
            <w:r>
              <w:rPr>
                <w:rStyle w:val="103"/>
                <w:rFonts w:hint="default" w:ascii="Times New Roman" w:hAnsi="Times New Roman"/>
              </w:rPr>
              <w:t>特许经营期限</w:t>
            </w:r>
            <w:r>
              <w:rPr>
                <w:rStyle w:val="104"/>
              </w:rPr>
              <w:t>30</w:t>
            </w:r>
            <w:r>
              <w:rPr>
                <w:rStyle w:val="103"/>
                <w:rFonts w:hint="default" w:ascii="Times New Roman" w:hAnsi="Times New Roman"/>
              </w:rPr>
              <w:t>年。</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89450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2015-2016</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阳朔县生活垃圾焚烧发电工程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日处理生活垃圾</w:t>
            </w:r>
            <w:r>
              <w:rPr>
                <w:rStyle w:val="104"/>
              </w:rPr>
              <w:t>1500</w:t>
            </w:r>
            <w:r>
              <w:rPr>
                <w:rStyle w:val="103"/>
                <w:rFonts w:hint="default" w:ascii="Times New Roman" w:hAnsi="Times New Roman"/>
              </w:rPr>
              <w:t>吨</w:t>
            </w:r>
            <w:r>
              <w:rPr>
                <w:rStyle w:val="104"/>
              </w:rPr>
              <w:t>/</w:t>
            </w:r>
            <w:r>
              <w:rPr>
                <w:rStyle w:val="103"/>
                <w:rFonts w:hint="default" w:ascii="Times New Roman" w:hAnsi="Times New Roman"/>
              </w:rPr>
              <w:t>日，</w:t>
            </w:r>
            <w:r>
              <w:rPr>
                <w:rStyle w:val="104"/>
              </w:rPr>
              <w:t>BOT</w:t>
            </w:r>
            <w:r>
              <w:rPr>
                <w:rStyle w:val="103"/>
                <w:rFonts w:hint="default" w:ascii="Times New Roman" w:hAnsi="Times New Roman"/>
              </w:rPr>
              <w:t>特许经营期限</w:t>
            </w:r>
            <w:r>
              <w:rPr>
                <w:rStyle w:val="104"/>
              </w:rPr>
              <w:t>30</w:t>
            </w:r>
            <w:r>
              <w:rPr>
                <w:rStyle w:val="109"/>
                <w:rFonts w:hint="default" w:ascii="Times New Roman" w:hAnsi="Times New Roman" w:eastAsia="仿宋"/>
              </w:rPr>
              <w:t>年。</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89450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2016-2019</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阳朔县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8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垃圾环保新能源发电设备研发制造基地</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投资安装一套“垃圾环保再生能源发电”生产线设备。日生处理生活垃圾50吨。同时建设生产车间2500</w:t>
            </w:r>
            <w:r>
              <w:rPr>
                <w:rStyle w:val="103"/>
                <w:rFonts w:hint="default" w:ascii="Times New Roman" w:hAnsi="Times New Roman"/>
              </w:rPr>
              <w:t>m</w:t>
            </w:r>
            <w:r>
              <w:rPr>
                <w:rStyle w:val="103"/>
                <w:rFonts w:hint="default" w:ascii="Times New Roman" w:hAnsi="Times New Roman"/>
                <w:vertAlign w:val="superscript"/>
              </w:rPr>
              <w:t>2</w:t>
            </w:r>
            <w:r>
              <w:rPr>
                <w:rFonts w:hint="eastAsia" w:cs="仿宋"/>
                <w:color w:val="000000"/>
                <w:kern w:val="0"/>
                <w:sz w:val="21"/>
                <w:szCs w:val="21"/>
              </w:rPr>
              <w:t>，原料仓库1000</w:t>
            </w:r>
            <w:r>
              <w:rPr>
                <w:rStyle w:val="103"/>
                <w:rFonts w:hint="default" w:ascii="Times New Roman" w:hAnsi="Times New Roman"/>
              </w:rPr>
              <w:t>m</w:t>
            </w:r>
            <w:r>
              <w:rPr>
                <w:rStyle w:val="103"/>
                <w:rFonts w:hint="default" w:ascii="Times New Roman" w:hAnsi="Times New Roman"/>
                <w:vertAlign w:val="superscript"/>
              </w:rPr>
              <w:t>2</w:t>
            </w:r>
            <w:r>
              <w:rPr>
                <w:rFonts w:hint="eastAsia" w:cs="仿宋"/>
                <w:color w:val="000000"/>
                <w:kern w:val="0"/>
                <w:sz w:val="21"/>
                <w:szCs w:val="21"/>
              </w:rPr>
              <w:t>，环保设备占地1000</w:t>
            </w:r>
            <w:r>
              <w:rPr>
                <w:rStyle w:val="103"/>
                <w:rFonts w:hint="default" w:ascii="Times New Roman" w:hAnsi="Times New Roman"/>
              </w:rPr>
              <w:t>m</w:t>
            </w:r>
            <w:r>
              <w:rPr>
                <w:rStyle w:val="103"/>
                <w:rFonts w:hint="default" w:ascii="Times New Roman" w:hAnsi="Times New Roman"/>
                <w:vertAlign w:val="superscript"/>
              </w:rPr>
              <w:t>2</w:t>
            </w:r>
            <w:r>
              <w:rPr>
                <w:rFonts w:hint="eastAsia" w:cs="仿宋"/>
                <w:color w:val="000000"/>
                <w:kern w:val="0"/>
                <w:sz w:val="21"/>
                <w:szCs w:val="21"/>
              </w:rPr>
              <w:t>，发电机占地700</w:t>
            </w:r>
            <w:r>
              <w:rPr>
                <w:rStyle w:val="103"/>
                <w:rFonts w:hint="default" w:ascii="Times New Roman" w:hAnsi="Times New Roman"/>
              </w:rPr>
              <w:t>m</w:t>
            </w:r>
            <w:r>
              <w:rPr>
                <w:rStyle w:val="103"/>
                <w:rFonts w:hint="default" w:ascii="Times New Roman" w:hAnsi="Times New Roman"/>
                <w:vertAlign w:val="superscript"/>
              </w:rPr>
              <w:t>2</w:t>
            </w:r>
            <w:r>
              <w:rPr>
                <w:rFonts w:hint="eastAsia" w:cs="仿宋"/>
                <w:color w:val="000000"/>
                <w:kern w:val="0"/>
                <w:sz w:val="21"/>
                <w:szCs w:val="21"/>
              </w:rPr>
              <w:t>，污水处理系统占地1000</w:t>
            </w:r>
            <w:r>
              <w:rPr>
                <w:rStyle w:val="103"/>
                <w:rFonts w:hint="default" w:ascii="Times New Roman" w:hAnsi="Times New Roman"/>
              </w:rPr>
              <w:t>m</w:t>
            </w:r>
            <w:r>
              <w:rPr>
                <w:rStyle w:val="103"/>
                <w:rFonts w:hint="default" w:ascii="Times New Roman" w:hAnsi="Times New Roman"/>
                <w:vertAlign w:val="superscript"/>
              </w:rPr>
              <w:t>2</w:t>
            </w:r>
            <w:r>
              <w:rPr>
                <w:rFonts w:hint="eastAsia" w:cs="仿宋"/>
                <w:color w:val="000000"/>
                <w:kern w:val="0"/>
                <w:sz w:val="21"/>
                <w:szCs w:val="21"/>
              </w:rPr>
              <w:t>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雁山区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205</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桂林食品工业废弃物综合循环利用示范工程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年产食用多价营养素、营养保健食品及生化制品</w:t>
            </w:r>
            <w:r>
              <w:rPr>
                <w:rStyle w:val="104"/>
              </w:rPr>
              <w:t>8000</w:t>
            </w:r>
            <w:r>
              <w:rPr>
                <w:rStyle w:val="103"/>
                <w:rFonts w:hint="default" w:ascii="Times New Roman" w:hAnsi="Times New Roman"/>
              </w:rPr>
              <w:t>吨，生态动物营养素及有机饲料</w:t>
            </w:r>
            <w:r>
              <w:rPr>
                <w:rStyle w:val="104"/>
              </w:rPr>
              <w:t>10000</w:t>
            </w:r>
            <w:r>
              <w:rPr>
                <w:rStyle w:val="103"/>
                <w:rFonts w:hint="default" w:ascii="Times New Roman" w:hAnsi="Times New Roman"/>
              </w:rPr>
              <w:t>吨，生态高效有机肥</w:t>
            </w:r>
            <w:r>
              <w:rPr>
                <w:rStyle w:val="104"/>
              </w:rPr>
              <w:t>15000</w:t>
            </w:r>
            <w:r>
              <w:rPr>
                <w:rStyle w:val="103"/>
                <w:rFonts w:hint="default" w:ascii="Times New Roman" w:hAnsi="Times New Roman"/>
              </w:rPr>
              <w:t>吨，生态有机鸡年出栏</w:t>
            </w:r>
            <w:r>
              <w:rPr>
                <w:rStyle w:val="104"/>
              </w:rPr>
              <w:t>10</w:t>
            </w:r>
            <w:r>
              <w:rPr>
                <w:rStyle w:val="103"/>
                <w:rFonts w:hint="default" w:ascii="Times New Roman" w:hAnsi="Times New Roman"/>
              </w:rPr>
              <w:t>万只示范基地，高科技有机农业示范园</w:t>
            </w:r>
            <w:r>
              <w:rPr>
                <w:rStyle w:val="104"/>
              </w:rPr>
              <w:t>1000</w:t>
            </w:r>
            <w:r>
              <w:rPr>
                <w:rStyle w:val="103"/>
                <w:rFonts w:hint="default" w:ascii="Times New Roman" w:hAnsi="Times New Roman"/>
              </w:rPr>
              <w:t>亩，有机富硒啤酒</w:t>
            </w:r>
            <w:r>
              <w:rPr>
                <w:rStyle w:val="104"/>
              </w:rPr>
              <w:t>5000</w:t>
            </w:r>
            <w:r>
              <w:rPr>
                <w:rStyle w:val="103"/>
                <w:rFonts w:hint="default" w:ascii="Times New Roman" w:hAnsi="Times New Roman"/>
              </w:rPr>
              <w:t>吨等。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39000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2016-2017</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8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206</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垃圾环保新能源发电设备研发制造基地</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投资安装一套</w:t>
            </w:r>
            <w:r>
              <w:rPr>
                <w:rFonts w:hint="eastAsia" w:cs="仿宋"/>
                <w:color w:val="000000"/>
                <w:kern w:val="0"/>
                <w:sz w:val="21"/>
                <w:szCs w:val="21"/>
              </w:rPr>
              <w:t>“</w:t>
            </w:r>
            <w:r>
              <w:rPr>
                <w:rStyle w:val="103"/>
                <w:rFonts w:hint="default" w:ascii="Times New Roman" w:hAnsi="Times New Roman"/>
              </w:rPr>
              <w:t>垃圾环保再生能源发电</w:t>
            </w:r>
            <w:r>
              <w:rPr>
                <w:rFonts w:hint="eastAsia" w:cs="仿宋"/>
                <w:color w:val="000000"/>
                <w:kern w:val="0"/>
                <w:sz w:val="21"/>
                <w:szCs w:val="21"/>
              </w:rPr>
              <w:t>”</w:t>
            </w:r>
            <w:r>
              <w:rPr>
                <w:rStyle w:val="103"/>
                <w:rFonts w:hint="default" w:ascii="Times New Roman" w:hAnsi="Times New Roman"/>
              </w:rPr>
              <w:t>生产线设备。日生处理生活垃圾</w:t>
            </w:r>
            <w:r>
              <w:rPr>
                <w:rStyle w:val="104"/>
              </w:rPr>
              <w:t>50</w:t>
            </w:r>
            <w:r>
              <w:rPr>
                <w:rStyle w:val="103"/>
                <w:rFonts w:hint="default" w:ascii="Times New Roman" w:hAnsi="Times New Roman"/>
              </w:rPr>
              <w:t>吨。同时建设生产车间</w:t>
            </w:r>
            <w:r>
              <w:rPr>
                <w:rStyle w:val="104"/>
              </w:rPr>
              <w:t>2500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，原料仓库</w:t>
            </w:r>
            <w:r>
              <w:rPr>
                <w:rStyle w:val="104"/>
              </w:rPr>
              <w:t>1000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，环保设备占地</w:t>
            </w:r>
            <w:r>
              <w:rPr>
                <w:rStyle w:val="104"/>
              </w:rPr>
              <w:t>1000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，发电机占地</w:t>
            </w:r>
            <w:r>
              <w:rPr>
                <w:rStyle w:val="104"/>
              </w:rPr>
              <w:t>700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，污水处理系统占地</w:t>
            </w:r>
            <w:r>
              <w:rPr>
                <w:rStyle w:val="104"/>
              </w:rPr>
              <w:t>1000</w:t>
            </w:r>
            <w:r>
              <w:rPr>
                <w:rStyle w:val="103"/>
                <w:rFonts w:hint="default" w:ascii="Times New Roman" w:hAnsi="Times New Roman"/>
              </w:rPr>
              <w:t>m</w:t>
            </w:r>
            <w:r>
              <w:rPr>
                <w:rStyle w:val="103"/>
                <w:rFonts w:hint="default" w:ascii="Times New Roman" w:hAnsi="Times New Roman"/>
                <w:vertAlign w:val="superscript"/>
              </w:rPr>
              <w:t>2</w:t>
            </w:r>
            <w:r>
              <w:rPr>
                <w:rStyle w:val="103"/>
                <w:rFonts w:hint="default" w:ascii="Times New Roman" w:hAnsi="Times New Roman"/>
              </w:rPr>
              <w:t>等。</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50000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雁山区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40"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207</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生活垃圾无公害无氧碳化终极处理项目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日产燃料</w:t>
            </w:r>
            <w:r>
              <w:rPr>
                <w:rStyle w:val="104"/>
              </w:rPr>
              <w:t>10</w:t>
            </w:r>
            <w:r>
              <w:rPr>
                <w:rStyle w:val="103"/>
                <w:rFonts w:hint="default" w:ascii="Times New Roman" w:hAnsi="Times New Roman"/>
              </w:rPr>
              <w:t>吨，产生碳渣</w:t>
            </w:r>
            <w:r>
              <w:rPr>
                <w:rStyle w:val="104"/>
              </w:rPr>
              <w:t>10</w:t>
            </w:r>
            <w:r>
              <w:rPr>
                <w:rStyle w:val="103"/>
                <w:rFonts w:hint="default" w:ascii="Times New Roman" w:hAnsi="Times New Roman"/>
              </w:rPr>
              <w:t>吨。对生活垃圾进行无氧碳化热裂解方式技术处理，垃圾经过处理后转化为燃料产品（碳渣、油）。</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1230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资源县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208</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资源县农村能源节能项目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太阳能路灯</w:t>
            </w:r>
            <w:r>
              <w:rPr>
                <w:rStyle w:val="104"/>
              </w:rPr>
              <w:t>120</w:t>
            </w:r>
            <w:r>
              <w:rPr>
                <w:rStyle w:val="103"/>
                <w:rFonts w:hint="default" w:ascii="Times New Roman" w:hAnsi="Times New Roman"/>
              </w:rPr>
              <w:t>盏，太阳能热水器</w:t>
            </w:r>
            <w:r>
              <w:rPr>
                <w:rStyle w:val="104"/>
              </w:rPr>
              <w:t>150</w:t>
            </w:r>
            <w:r>
              <w:rPr>
                <w:rStyle w:val="103"/>
                <w:rFonts w:hint="default" w:ascii="Times New Roman" w:hAnsi="Times New Roman"/>
              </w:rPr>
              <w:t>台，商品节柴炉</w:t>
            </w:r>
            <w:r>
              <w:rPr>
                <w:rStyle w:val="104"/>
              </w:rPr>
              <w:t>1200</w:t>
            </w:r>
            <w:r>
              <w:rPr>
                <w:rStyle w:val="103"/>
                <w:rFonts w:hint="default" w:ascii="Times New Roman" w:hAnsi="Times New Roman"/>
              </w:rPr>
              <w:t>台。</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162</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资源县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52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209</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荔浦县工厂“三废”（废渣、废气、废水）污染防治和资源综合利用工程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电镀污泥、造纸白泥、脱硫废渣污染防治和资源综合利用。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12500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79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210</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荔浦县报废机动车辆回收综合利用项目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建设报废汽车回收拆解场地，建筑面积</w:t>
            </w:r>
            <w:r>
              <w:rPr>
                <w:rStyle w:val="104"/>
              </w:rPr>
              <w:t>15000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，建设报废汽车存储场地（包括临时存放）、封闭或半封闭拆解场车间、旧零件仓库，建设回收拆解消防设施、环保设施。购置车辆称重设备、车架剪断设备、车身剪断和压扁设备、车辆起重运输等设备。</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8000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211</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荔浦县废旧资源利用工程</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生物质加工、废塑料再生利用。</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荔浦县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212</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龙胜县（海绵城市）建设项目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Fonts w:hint="eastAsia" w:cs="仿宋"/>
                <w:color w:val="000000"/>
                <w:kern w:val="0"/>
                <w:sz w:val="21"/>
                <w:szCs w:val="21"/>
              </w:rPr>
              <w:t>雨水“吸收、存蓄、渗透、净化”工程建设。</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12000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2016-2020</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龙胜县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213</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兴安县农业废弃物综合利用项目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建高架床猪舍</w:t>
            </w:r>
            <w:r>
              <w:rPr>
                <w:rStyle w:val="104"/>
              </w:rPr>
              <w:t>2000</w:t>
            </w:r>
            <w:r>
              <w:rPr>
                <w:rStyle w:val="103"/>
                <w:rFonts w:hint="default" w:ascii="Times New Roman" w:hAnsi="Times New Roman"/>
              </w:rPr>
              <w:t xml:space="preserve"> m</w:t>
            </w:r>
            <w:r>
              <w:rPr>
                <w:rStyle w:val="103"/>
                <w:rFonts w:hint="default" w:ascii="Times New Roman" w:hAnsi="Times New Roman"/>
                <w:vertAlign w:val="superscript"/>
              </w:rPr>
              <w:t>2</w:t>
            </w:r>
            <w:r>
              <w:rPr>
                <w:rStyle w:val="103"/>
                <w:rFonts w:hint="default" w:ascii="Times New Roman" w:hAnsi="Times New Roman"/>
              </w:rPr>
              <w:t>，排污管道</w:t>
            </w:r>
            <w:r>
              <w:rPr>
                <w:rStyle w:val="104"/>
              </w:rPr>
              <w:t>4000m</w:t>
            </w:r>
            <w:r>
              <w:rPr>
                <w:rStyle w:val="103"/>
                <w:rFonts w:hint="default" w:ascii="Times New Roman" w:hAnsi="Times New Roman"/>
              </w:rPr>
              <w:t>。</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1000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2017-2018</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兴安县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85" w:type="dxa"/>
            <w:bottom w:w="15" w:type="dxa"/>
            <w:right w:w="85" w:type="dxa"/>
          </w:tblCellMar>
        </w:tblPrEx>
        <w:trPr>
          <w:trHeight w:val="285" w:hRule="atLeast"/>
        </w:trPr>
        <w:tc>
          <w:tcPr>
            <w:tcW w:w="794"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214</w:t>
            </w:r>
          </w:p>
        </w:tc>
        <w:tc>
          <w:tcPr>
            <w:tcW w:w="3119"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Style w:val="103"/>
                <w:rFonts w:hint="default" w:ascii="Times New Roman" w:hAnsi="Times New Roman"/>
              </w:rPr>
              <w:t>福龙园</w:t>
            </w:r>
            <w:r>
              <w:rPr>
                <w:rStyle w:val="104"/>
              </w:rPr>
              <w:t>A</w:t>
            </w:r>
            <w:r>
              <w:rPr>
                <w:rStyle w:val="103"/>
                <w:rFonts w:hint="default" w:ascii="Times New Roman" w:hAnsi="Times New Roman"/>
              </w:rPr>
              <w:t>区生态园区转型升级项目</w:t>
            </w:r>
          </w:p>
        </w:tc>
        <w:tc>
          <w:tcPr>
            <w:tcW w:w="6520" w:type="dxa"/>
            <w:shd w:val="clear" w:color="auto" w:fill="auto"/>
            <w:vAlign w:val="center"/>
          </w:tcPr>
          <w:p>
            <w:pPr>
              <w:widowControl/>
              <w:spacing w:line="276" w:lineRule="auto"/>
              <w:ind w:firstLine="0" w:firstLineChars="0"/>
              <w:textAlignment w:val="center"/>
              <w:rPr>
                <w:rFonts w:cs="仿宋"/>
                <w:color w:val="000000"/>
                <w:sz w:val="21"/>
                <w:szCs w:val="21"/>
              </w:rPr>
            </w:pPr>
            <w:r>
              <w:rPr>
                <w:rStyle w:val="103"/>
                <w:rFonts w:hint="default" w:ascii="Times New Roman" w:hAnsi="Times New Roman"/>
              </w:rPr>
              <w:t>对现有的福龙园</w:t>
            </w:r>
            <w:r>
              <w:rPr>
                <w:rStyle w:val="104"/>
              </w:rPr>
              <w:t>A</w:t>
            </w:r>
            <w:r>
              <w:rPr>
                <w:rStyle w:val="103"/>
                <w:rFonts w:hint="default" w:ascii="Times New Roman" w:hAnsi="Times New Roman"/>
              </w:rPr>
              <w:t>区进行转型升级，建设生态园区。</w:t>
            </w:r>
          </w:p>
        </w:tc>
        <w:tc>
          <w:tcPr>
            <w:tcW w:w="992"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23000</w:t>
            </w:r>
          </w:p>
        </w:tc>
        <w:tc>
          <w:tcPr>
            <w:tcW w:w="1560" w:type="dxa"/>
            <w:shd w:val="clear" w:color="auto" w:fill="auto"/>
            <w:vAlign w:val="center"/>
          </w:tcPr>
          <w:p>
            <w:pPr>
              <w:widowControl/>
              <w:spacing w:line="276" w:lineRule="auto"/>
              <w:ind w:firstLine="0" w:firstLineChars="0"/>
              <w:jc w:val="center"/>
              <w:textAlignment w:val="center"/>
              <w:rPr>
                <w:color w:val="000000"/>
                <w:sz w:val="21"/>
                <w:szCs w:val="21"/>
              </w:rPr>
            </w:pPr>
            <w:r>
              <w:rPr>
                <w:color w:val="000000"/>
                <w:kern w:val="0"/>
                <w:sz w:val="21"/>
                <w:szCs w:val="21"/>
              </w:rPr>
              <w:t>2016-2021</w:t>
            </w:r>
          </w:p>
        </w:tc>
        <w:tc>
          <w:tcPr>
            <w:tcW w:w="1134" w:type="dxa"/>
            <w:shd w:val="clear" w:color="auto" w:fill="auto"/>
            <w:vAlign w:val="center"/>
          </w:tcPr>
          <w:p>
            <w:pPr>
              <w:widowControl/>
              <w:spacing w:line="276" w:lineRule="auto"/>
              <w:ind w:firstLine="0" w:firstLineChars="0"/>
              <w:jc w:val="center"/>
              <w:textAlignment w:val="center"/>
              <w:rPr>
                <w:rFonts w:cs="仿宋"/>
                <w:color w:val="000000"/>
                <w:sz w:val="21"/>
                <w:szCs w:val="21"/>
              </w:rPr>
            </w:pPr>
            <w:r>
              <w:rPr>
                <w:rFonts w:hint="eastAsia" w:cs="仿宋"/>
                <w:color w:val="000000"/>
                <w:kern w:val="0"/>
                <w:sz w:val="21"/>
                <w:szCs w:val="21"/>
              </w:rPr>
              <w:t>苏桥经济开发区</w:t>
            </w:r>
          </w:p>
        </w:tc>
      </w:tr>
    </w:tbl>
    <w:p>
      <w:pPr>
        <w:ind w:firstLine="0" w:firstLineChars="0"/>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560"/>
      <w:jc w:val="center"/>
    </w:pPr>
    <w:r>
      <w:pict>
        <v:shape id="文本框 15" o:spid="_x0000_s1026" o:spt="202" type="#_x0000_t202" style="position:absolute;left:0pt;margin-top:0pt;height:11pt;width:5.55pt;mso-position-horizontal:center;mso-position-horizontal-relative:margin;mso-wrap-style:none;z-index:251658240;mso-width-relative:page;mso-height-relative:page;" filled="f" stroked="f" coordsize="21600,21600" o:gfxdata="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DZTFzwAA&#10;AAMBAAAPAAAAAAAAAAEAIAAAACIAAABkcnMvZG93bnJldi54bWxQSwECFAAUAAAACACHTuJAepSR&#10;Ae4BAAC0AwAADgAAAAAAAAABACAAAAAeAQAAZHJzL2Uyb0RvYy54bWxQSwUGAAAAAAYABgBZAQAA&#10;fgUAAAAA&#10;">
          <v:path/>
          <v:fill on="f" focussize="0,0"/>
          <v:stroke on="f" joinstyle="miter"/>
          <v:imagedata o:title=""/>
          <o:lock v:ext="edit"/>
          <v:textbox inset="0mm,0mm,0mm,0mm" style="mso-fit-shape-to-text:t;">
            <w:txbxContent>
              <w:p>
                <w:pPr>
                  <w:pStyle w:val="28"/>
                  <w:ind w:firstLine="560"/>
                  <w:jc w:val="cente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703793"/>
    </w:sdtPr>
    <w:sdtContent>
      <w:p>
        <w:pPr>
          <w:pStyle w:val="19"/>
          <w:ind w:firstLine="360"/>
          <w:jc w:val="center"/>
        </w:pPr>
        <w:r>
          <w:fldChar w:fldCharType="begin"/>
        </w:r>
        <w:r>
          <w:instrText xml:space="preserve">PAGE   \* MERGEFORMAT</w:instrText>
        </w:r>
        <w:r>
          <w:fldChar w:fldCharType="separate"/>
        </w:r>
        <w:r>
          <w:rPr>
            <w:lang w:val="zh-CN"/>
          </w:rPr>
          <w:t>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ind w:firstLine="560"/>
    </w:pPr>
    <w:r>
      <w:fldChar w:fldCharType="begin"/>
    </w:r>
    <w:r>
      <w:instrText xml:space="preserve">PAGE  </w:instrText>
    </w:r>
    <w:r>
      <w:fldChar w:fldCharType="end"/>
    </w:r>
  </w:p>
  <w:p>
    <w:pPr>
      <w:pStyle w:val="28"/>
      <w:ind w:right="360" w:firstLine="5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4"/>
        <w:ind w:firstLine="360"/>
        <w:jc w:val="both"/>
        <w:rPr>
          <w:rFonts w:ascii="宋体" w:hAnsi="宋体"/>
        </w:rPr>
      </w:pPr>
      <w:r>
        <w:rPr>
          <w:rFonts w:hint="eastAsia" w:ascii="宋体" w:hAnsi="宋体"/>
        </w:rPr>
        <w:footnoteRef/>
      </w:r>
      <w:r>
        <w:rPr>
          <w:rFonts w:hint="eastAsia" w:ascii="宋体" w:hAnsi="宋体"/>
        </w:rPr>
        <w:t>共享经济，一般是指以获得一定报酬为主要目的，基于陌生人且存在物品使用权暂时转移的一种新的经济模式。其本质是整合线下的闲散物品、劳动力、教育医疗资源等。</w:t>
      </w:r>
    </w:p>
  </w:footnote>
  <w:footnote w:id="1">
    <w:p>
      <w:pPr>
        <w:pStyle w:val="24"/>
        <w:ind w:firstLine="360"/>
        <w:jc w:val="both"/>
      </w:pPr>
      <w:r>
        <w:rPr>
          <w:rStyle w:val="37"/>
        </w:rPr>
        <w:footnoteRef/>
      </w:r>
      <w:r>
        <w:rPr>
          <w:rFonts w:hint="eastAsia" w:ascii="宋体" w:hAnsi="宋体"/>
        </w:rPr>
        <w:t>静脉产业：也叫资源再生利用产业，是以保障环境安全为前提，以节约资源、保护环境为目的，运用先进的技术，将生产和消费过程中产生的废物转化为可重新利用的资源和产品，实现各类废物的再利用和资源化的产业，包括废物转化为再生资源及将再生资源加工为产品两个过程。静脉产业的发展是解决废弃物快速增长的一个良好途径，将成为</w:t>
      </w:r>
      <w:r>
        <w:rPr>
          <w:rFonts w:ascii="宋体" w:hAnsi="宋体"/>
        </w:rPr>
        <w:t>21</w:t>
      </w:r>
      <w:r>
        <w:rPr>
          <w:rFonts w:hint="eastAsia" w:ascii="宋体" w:hAnsi="宋体"/>
        </w:rPr>
        <w:t>世纪具有相当潜力的产业之一。</w:t>
      </w:r>
    </w:p>
  </w:footnote>
  <w:footnote w:id="2">
    <w:p>
      <w:pPr>
        <w:pStyle w:val="24"/>
        <w:ind w:firstLine="360"/>
        <w:jc w:val="both"/>
      </w:pPr>
      <w:r>
        <w:rPr>
          <w:rStyle w:val="37"/>
        </w:rPr>
        <w:footnoteRef/>
      </w:r>
      <w:r>
        <w:rPr>
          <w:rFonts w:hint="eastAsia"/>
        </w:rPr>
        <w:t>城市矿产：</w:t>
      </w:r>
      <w:r>
        <w:rPr>
          <w:rFonts w:hint="eastAsia" w:ascii="宋体" w:hAnsi="宋体"/>
        </w:rPr>
        <w:t>指工业化和城镇化过程中产生和蕴藏于废旧机电设备、电线电缆、通讯工具、汽车、家电、电子产品、金属和塑料包装物以及废料中，可循环利用的钢铁、有色金属、贵金属、塑料、橡胶等资源</w:t>
      </w:r>
      <w:r>
        <w:rPr>
          <w:rFonts w:ascii="宋体" w:hAnsi="宋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631B"/>
    <w:multiLevelType w:val="multilevel"/>
    <w:tmpl w:val="2688631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8903AC9"/>
    <w:multiLevelType w:val="multilevel"/>
    <w:tmpl w:val="38903AC9"/>
    <w:lvl w:ilvl="0" w:tentative="0">
      <w:start w:val="1"/>
      <w:numFmt w:val="japaneseCounting"/>
      <w:lvlText w:val="第%1节"/>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237"/>
    <w:rsid w:val="00005497"/>
    <w:rsid w:val="0000568C"/>
    <w:rsid w:val="00012C3A"/>
    <w:rsid w:val="00013FD2"/>
    <w:rsid w:val="000210AD"/>
    <w:rsid w:val="00021D76"/>
    <w:rsid w:val="0002340A"/>
    <w:rsid w:val="0002505C"/>
    <w:rsid w:val="000326C1"/>
    <w:rsid w:val="00032A0C"/>
    <w:rsid w:val="00034C0E"/>
    <w:rsid w:val="00037210"/>
    <w:rsid w:val="00040A56"/>
    <w:rsid w:val="00040EC5"/>
    <w:rsid w:val="0004525B"/>
    <w:rsid w:val="000501E9"/>
    <w:rsid w:val="000515C7"/>
    <w:rsid w:val="00055779"/>
    <w:rsid w:val="000571C6"/>
    <w:rsid w:val="000610C1"/>
    <w:rsid w:val="00064848"/>
    <w:rsid w:val="000674B2"/>
    <w:rsid w:val="0006777A"/>
    <w:rsid w:val="000749BC"/>
    <w:rsid w:val="000760D0"/>
    <w:rsid w:val="00080A93"/>
    <w:rsid w:val="00083009"/>
    <w:rsid w:val="000838D8"/>
    <w:rsid w:val="00083E6E"/>
    <w:rsid w:val="0008462F"/>
    <w:rsid w:val="0008662B"/>
    <w:rsid w:val="00086727"/>
    <w:rsid w:val="00086F8C"/>
    <w:rsid w:val="00091C2B"/>
    <w:rsid w:val="0009244E"/>
    <w:rsid w:val="0009253E"/>
    <w:rsid w:val="000A09F2"/>
    <w:rsid w:val="000A1856"/>
    <w:rsid w:val="000A2962"/>
    <w:rsid w:val="000A3447"/>
    <w:rsid w:val="000A4541"/>
    <w:rsid w:val="000A6632"/>
    <w:rsid w:val="000A664C"/>
    <w:rsid w:val="000A66B6"/>
    <w:rsid w:val="000B3D70"/>
    <w:rsid w:val="000B66BA"/>
    <w:rsid w:val="000D148C"/>
    <w:rsid w:val="000D2EDB"/>
    <w:rsid w:val="000D5F82"/>
    <w:rsid w:val="000D7B1F"/>
    <w:rsid w:val="000E03E7"/>
    <w:rsid w:val="000E45D4"/>
    <w:rsid w:val="000E7A91"/>
    <w:rsid w:val="000F2A0F"/>
    <w:rsid w:val="00100241"/>
    <w:rsid w:val="0010026B"/>
    <w:rsid w:val="00102950"/>
    <w:rsid w:val="0010363B"/>
    <w:rsid w:val="001036B4"/>
    <w:rsid w:val="0010588E"/>
    <w:rsid w:val="00105FE1"/>
    <w:rsid w:val="00106AB0"/>
    <w:rsid w:val="001079C0"/>
    <w:rsid w:val="00111F8B"/>
    <w:rsid w:val="001139D9"/>
    <w:rsid w:val="00113AF9"/>
    <w:rsid w:val="0012022C"/>
    <w:rsid w:val="00121587"/>
    <w:rsid w:val="00124C23"/>
    <w:rsid w:val="00125AF1"/>
    <w:rsid w:val="00134774"/>
    <w:rsid w:val="00134833"/>
    <w:rsid w:val="00135DFF"/>
    <w:rsid w:val="00136A0D"/>
    <w:rsid w:val="001376AB"/>
    <w:rsid w:val="0014166D"/>
    <w:rsid w:val="001431AB"/>
    <w:rsid w:val="00145C98"/>
    <w:rsid w:val="00152C14"/>
    <w:rsid w:val="00153DA2"/>
    <w:rsid w:val="00154C72"/>
    <w:rsid w:val="00161EF1"/>
    <w:rsid w:val="00163DB9"/>
    <w:rsid w:val="00166527"/>
    <w:rsid w:val="00167B7F"/>
    <w:rsid w:val="00170DFD"/>
    <w:rsid w:val="00172A27"/>
    <w:rsid w:val="001741F3"/>
    <w:rsid w:val="001754D1"/>
    <w:rsid w:val="0017701E"/>
    <w:rsid w:val="00177379"/>
    <w:rsid w:val="00181831"/>
    <w:rsid w:val="001855BB"/>
    <w:rsid w:val="00190B8D"/>
    <w:rsid w:val="00193A88"/>
    <w:rsid w:val="0019429F"/>
    <w:rsid w:val="00195AE6"/>
    <w:rsid w:val="0019773D"/>
    <w:rsid w:val="001A13CD"/>
    <w:rsid w:val="001A2C77"/>
    <w:rsid w:val="001A2D41"/>
    <w:rsid w:val="001A3575"/>
    <w:rsid w:val="001A5233"/>
    <w:rsid w:val="001A5AE2"/>
    <w:rsid w:val="001A7F22"/>
    <w:rsid w:val="001B0AF7"/>
    <w:rsid w:val="001B1DEE"/>
    <w:rsid w:val="001B33A8"/>
    <w:rsid w:val="001B52EC"/>
    <w:rsid w:val="001B5942"/>
    <w:rsid w:val="001C0499"/>
    <w:rsid w:val="001C5636"/>
    <w:rsid w:val="001C67DB"/>
    <w:rsid w:val="001D1A5F"/>
    <w:rsid w:val="001D2467"/>
    <w:rsid w:val="001F2395"/>
    <w:rsid w:val="001F27B3"/>
    <w:rsid w:val="001F2D74"/>
    <w:rsid w:val="001F4279"/>
    <w:rsid w:val="00200920"/>
    <w:rsid w:val="002014CA"/>
    <w:rsid w:val="002044A4"/>
    <w:rsid w:val="002048C1"/>
    <w:rsid w:val="00204B78"/>
    <w:rsid w:val="002100C2"/>
    <w:rsid w:val="00210F1B"/>
    <w:rsid w:val="002171A5"/>
    <w:rsid w:val="00217475"/>
    <w:rsid w:val="0022036C"/>
    <w:rsid w:val="002216ED"/>
    <w:rsid w:val="00223F4C"/>
    <w:rsid w:val="00227941"/>
    <w:rsid w:val="00230D71"/>
    <w:rsid w:val="00232C1C"/>
    <w:rsid w:val="00233E42"/>
    <w:rsid w:val="00235DD9"/>
    <w:rsid w:val="00237C1A"/>
    <w:rsid w:val="00240932"/>
    <w:rsid w:val="0025652B"/>
    <w:rsid w:val="00260CC4"/>
    <w:rsid w:val="00261C6F"/>
    <w:rsid w:val="002622F7"/>
    <w:rsid w:val="00265A6C"/>
    <w:rsid w:val="00265BC9"/>
    <w:rsid w:val="00271557"/>
    <w:rsid w:val="0027313B"/>
    <w:rsid w:val="0027456E"/>
    <w:rsid w:val="00276003"/>
    <w:rsid w:val="0027673D"/>
    <w:rsid w:val="00277B4F"/>
    <w:rsid w:val="00281889"/>
    <w:rsid w:val="00282EAA"/>
    <w:rsid w:val="00284EC0"/>
    <w:rsid w:val="002862B0"/>
    <w:rsid w:val="002865FC"/>
    <w:rsid w:val="00286B7E"/>
    <w:rsid w:val="00293B7D"/>
    <w:rsid w:val="002977A0"/>
    <w:rsid w:val="002A0DC8"/>
    <w:rsid w:val="002A7F7E"/>
    <w:rsid w:val="002B0C6E"/>
    <w:rsid w:val="002B17AE"/>
    <w:rsid w:val="002B2DC9"/>
    <w:rsid w:val="002B445E"/>
    <w:rsid w:val="002B464E"/>
    <w:rsid w:val="002B65E9"/>
    <w:rsid w:val="002C23E3"/>
    <w:rsid w:val="002C2B33"/>
    <w:rsid w:val="002C387C"/>
    <w:rsid w:val="002C6D12"/>
    <w:rsid w:val="002D783F"/>
    <w:rsid w:val="002E270F"/>
    <w:rsid w:val="002E2C27"/>
    <w:rsid w:val="002E7DBB"/>
    <w:rsid w:val="002F02A8"/>
    <w:rsid w:val="002F17EF"/>
    <w:rsid w:val="002F3AFC"/>
    <w:rsid w:val="002F40AB"/>
    <w:rsid w:val="002F48B5"/>
    <w:rsid w:val="00301D44"/>
    <w:rsid w:val="00302134"/>
    <w:rsid w:val="0030519E"/>
    <w:rsid w:val="00307909"/>
    <w:rsid w:val="0031661C"/>
    <w:rsid w:val="00317685"/>
    <w:rsid w:val="00317FDE"/>
    <w:rsid w:val="003209A9"/>
    <w:rsid w:val="00335C29"/>
    <w:rsid w:val="003413C1"/>
    <w:rsid w:val="00343384"/>
    <w:rsid w:val="00343A38"/>
    <w:rsid w:val="00343C71"/>
    <w:rsid w:val="00345601"/>
    <w:rsid w:val="00351410"/>
    <w:rsid w:val="0035273D"/>
    <w:rsid w:val="0035285D"/>
    <w:rsid w:val="00354548"/>
    <w:rsid w:val="00354C08"/>
    <w:rsid w:val="00362399"/>
    <w:rsid w:val="00367C76"/>
    <w:rsid w:val="00367E8B"/>
    <w:rsid w:val="00373EA8"/>
    <w:rsid w:val="00374949"/>
    <w:rsid w:val="00374E36"/>
    <w:rsid w:val="00375E16"/>
    <w:rsid w:val="003764CC"/>
    <w:rsid w:val="00376E51"/>
    <w:rsid w:val="00377515"/>
    <w:rsid w:val="0038001C"/>
    <w:rsid w:val="00380A1D"/>
    <w:rsid w:val="00387DA0"/>
    <w:rsid w:val="00391835"/>
    <w:rsid w:val="00392A8F"/>
    <w:rsid w:val="00394BBF"/>
    <w:rsid w:val="003A19D1"/>
    <w:rsid w:val="003A1F69"/>
    <w:rsid w:val="003A2AC7"/>
    <w:rsid w:val="003A66A3"/>
    <w:rsid w:val="003A7CF1"/>
    <w:rsid w:val="003B1D13"/>
    <w:rsid w:val="003B2279"/>
    <w:rsid w:val="003B4BE8"/>
    <w:rsid w:val="003C2EFC"/>
    <w:rsid w:val="003C5D25"/>
    <w:rsid w:val="003D21EA"/>
    <w:rsid w:val="003D365D"/>
    <w:rsid w:val="003D4910"/>
    <w:rsid w:val="003D4CE5"/>
    <w:rsid w:val="003E02B3"/>
    <w:rsid w:val="003E27A0"/>
    <w:rsid w:val="003F5487"/>
    <w:rsid w:val="003F7D71"/>
    <w:rsid w:val="00400851"/>
    <w:rsid w:val="00400F7A"/>
    <w:rsid w:val="004010F4"/>
    <w:rsid w:val="00401B7B"/>
    <w:rsid w:val="00405FBA"/>
    <w:rsid w:val="004066D8"/>
    <w:rsid w:val="00407253"/>
    <w:rsid w:val="00412BAC"/>
    <w:rsid w:val="0041304E"/>
    <w:rsid w:val="00415C34"/>
    <w:rsid w:val="00417C2F"/>
    <w:rsid w:val="0042223B"/>
    <w:rsid w:val="0042319C"/>
    <w:rsid w:val="0042495E"/>
    <w:rsid w:val="00431F61"/>
    <w:rsid w:val="004323A0"/>
    <w:rsid w:val="00435E81"/>
    <w:rsid w:val="004418EE"/>
    <w:rsid w:val="00443D6A"/>
    <w:rsid w:val="004453E1"/>
    <w:rsid w:val="004469E0"/>
    <w:rsid w:val="00447C1B"/>
    <w:rsid w:val="00450407"/>
    <w:rsid w:val="0045136F"/>
    <w:rsid w:val="004531DB"/>
    <w:rsid w:val="004538CE"/>
    <w:rsid w:val="004539AB"/>
    <w:rsid w:val="00454517"/>
    <w:rsid w:val="00454B6C"/>
    <w:rsid w:val="00454DA4"/>
    <w:rsid w:val="00455AA7"/>
    <w:rsid w:val="00457714"/>
    <w:rsid w:val="00460ED8"/>
    <w:rsid w:val="004610DE"/>
    <w:rsid w:val="004616B4"/>
    <w:rsid w:val="00462629"/>
    <w:rsid w:val="00462790"/>
    <w:rsid w:val="00466A32"/>
    <w:rsid w:val="00466EDC"/>
    <w:rsid w:val="00471200"/>
    <w:rsid w:val="004719C0"/>
    <w:rsid w:val="00473F93"/>
    <w:rsid w:val="00474479"/>
    <w:rsid w:val="00474A59"/>
    <w:rsid w:val="00476667"/>
    <w:rsid w:val="00480003"/>
    <w:rsid w:val="004808AC"/>
    <w:rsid w:val="004811A7"/>
    <w:rsid w:val="0048309B"/>
    <w:rsid w:val="0048557C"/>
    <w:rsid w:val="00491E7D"/>
    <w:rsid w:val="00491E7E"/>
    <w:rsid w:val="004923B9"/>
    <w:rsid w:val="00492BE5"/>
    <w:rsid w:val="00494A08"/>
    <w:rsid w:val="00495190"/>
    <w:rsid w:val="00496A43"/>
    <w:rsid w:val="00497184"/>
    <w:rsid w:val="004A0A11"/>
    <w:rsid w:val="004A0AD3"/>
    <w:rsid w:val="004A0B3D"/>
    <w:rsid w:val="004A0BDC"/>
    <w:rsid w:val="004A1BDA"/>
    <w:rsid w:val="004A218E"/>
    <w:rsid w:val="004A3314"/>
    <w:rsid w:val="004A44CF"/>
    <w:rsid w:val="004A5F34"/>
    <w:rsid w:val="004B00A5"/>
    <w:rsid w:val="004B0534"/>
    <w:rsid w:val="004B2457"/>
    <w:rsid w:val="004B25F1"/>
    <w:rsid w:val="004B45C2"/>
    <w:rsid w:val="004B531E"/>
    <w:rsid w:val="004C32D0"/>
    <w:rsid w:val="004C5C2B"/>
    <w:rsid w:val="004C7837"/>
    <w:rsid w:val="004D1DD4"/>
    <w:rsid w:val="004D39F5"/>
    <w:rsid w:val="004D43EA"/>
    <w:rsid w:val="004D6143"/>
    <w:rsid w:val="004E1077"/>
    <w:rsid w:val="004E4619"/>
    <w:rsid w:val="004E4CBA"/>
    <w:rsid w:val="004E61D8"/>
    <w:rsid w:val="004E69D8"/>
    <w:rsid w:val="004E7ABB"/>
    <w:rsid w:val="004F0F36"/>
    <w:rsid w:val="004F3500"/>
    <w:rsid w:val="004F41BF"/>
    <w:rsid w:val="004F456A"/>
    <w:rsid w:val="004F7B5B"/>
    <w:rsid w:val="0050239A"/>
    <w:rsid w:val="0051084C"/>
    <w:rsid w:val="00510BCC"/>
    <w:rsid w:val="0051140B"/>
    <w:rsid w:val="00517D47"/>
    <w:rsid w:val="005212B3"/>
    <w:rsid w:val="00521713"/>
    <w:rsid w:val="00522CB6"/>
    <w:rsid w:val="0052523D"/>
    <w:rsid w:val="00525ADE"/>
    <w:rsid w:val="00534446"/>
    <w:rsid w:val="00534705"/>
    <w:rsid w:val="0053639F"/>
    <w:rsid w:val="0053671F"/>
    <w:rsid w:val="00543794"/>
    <w:rsid w:val="00544D0C"/>
    <w:rsid w:val="00546743"/>
    <w:rsid w:val="00547249"/>
    <w:rsid w:val="00547E13"/>
    <w:rsid w:val="005504CF"/>
    <w:rsid w:val="00550726"/>
    <w:rsid w:val="00557A0F"/>
    <w:rsid w:val="00561F4C"/>
    <w:rsid w:val="0056536B"/>
    <w:rsid w:val="00566CC0"/>
    <w:rsid w:val="00566CCE"/>
    <w:rsid w:val="00571D2C"/>
    <w:rsid w:val="00572B26"/>
    <w:rsid w:val="00573654"/>
    <w:rsid w:val="00576DA1"/>
    <w:rsid w:val="00582824"/>
    <w:rsid w:val="005828EF"/>
    <w:rsid w:val="005847A7"/>
    <w:rsid w:val="00584CB8"/>
    <w:rsid w:val="005852C0"/>
    <w:rsid w:val="00587942"/>
    <w:rsid w:val="00591D99"/>
    <w:rsid w:val="0059519A"/>
    <w:rsid w:val="00597591"/>
    <w:rsid w:val="005A281E"/>
    <w:rsid w:val="005A345A"/>
    <w:rsid w:val="005A370E"/>
    <w:rsid w:val="005A512A"/>
    <w:rsid w:val="005A5206"/>
    <w:rsid w:val="005B531B"/>
    <w:rsid w:val="005B729B"/>
    <w:rsid w:val="005B76C6"/>
    <w:rsid w:val="005C4762"/>
    <w:rsid w:val="005C4BFF"/>
    <w:rsid w:val="005D1023"/>
    <w:rsid w:val="005D14B0"/>
    <w:rsid w:val="005D1DCF"/>
    <w:rsid w:val="005D6E62"/>
    <w:rsid w:val="005E78A2"/>
    <w:rsid w:val="005F03D2"/>
    <w:rsid w:val="005F5404"/>
    <w:rsid w:val="005F78D9"/>
    <w:rsid w:val="006003CC"/>
    <w:rsid w:val="00600B09"/>
    <w:rsid w:val="006037DB"/>
    <w:rsid w:val="00605C78"/>
    <w:rsid w:val="00606FF1"/>
    <w:rsid w:val="00610F6E"/>
    <w:rsid w:val="006113D8"/>
    <w:rsid w:val="00613130"/>
    <w:rsid w:val="00613406"/>
    <w:rsid w:val="00616E06"/>
    <w:rsid w:val="006206F9"/>
    <w:rsid w:val="006221F7"/>
    <w:rsid w:val="0062344E"/>
    <w:rsid w:val="006261F9"/>
    <w:rsid w:val="006333F9"/>
    <w:rsid w:val="00637AD3"/>
    <w:rsid w:val="00640D1C"/>
    <w:rsid w:val="0064231E"/>
    <w:rsid w:val="00643BE4"/>
    <w:rsid w:val="006529A5"/>
    <w:rsid w:val="0065661B"/>
    <w:rsid w:val="00657B3E"/>
    <w:rsid w:val="00657D1D"/>
    <w:rsid w:val="0066072F"/>
    <w:rsid w:val="006620B2"/>
    <w:rsid w:val="006647C1"/>
    <w:rsid w:val="00664919"/>
    <w:rsid w:val="006665E5"/>
    <w:rsid w:val="00666E11"/>
    <w:rsid w:val="00666FD5"/>
    <w:rsid w:val="00667490"/>
    <w:rsid w:val="00667A5D"/>
    <w:rsid w:val="00670346"/>
    <w:rsid w:val="0067049B"/>
    <w:rsid w:val="0067296D"/>
    <w:rsid w:val="00672CA7"/>
    <w:rsid w:val="00675FCF"/>
    <w:rsid w:val="0068090D"/>
    <w:rsid w:val="00680C45"/>
    <w:rsid w:val="0068241F"/>
    <w:rsid w:val="00683439"/>
    <w:rsid w:val="00684199"/>
    <w:rsid w:val="00686439"/>
    <w:rsid w:val="00686C1A"/>
    <w:rsid w:val="00694FA7"/>
    <w:rsid w:val="00695895"/>
    <w:rsid w:val="0069652B"/>
    <w:rsid w:val="00696793"/>
    <w:rsid w:val="006A00A5"/>
    <w:rsid w:val="006A236F"/>
    <w:rsid w:val="006A4125"/>
    <w:rsid w:val="006A4FE3"/>
    <w:rsid w:val="006A5EE6"/>
    <w:rsid w:val="006A74C2"/>
    <w:rsid w:val="006A7B03"/>
    <w:rsid w:val="006A7E17"/>
    <w:rsid w:val="006A7FEF"/>
    <w:rsid w:val="006B1F9F"/>
    <w:rsid w:val="006B3CC1"/>
    <w:rsid w:val="006B4A71"/>
    <w:rsid w:val="006B6114"/>
    <w:rsid w:val="006B7333"/>
    <w:rsid w:val="006C1756"/>
    <w:rsid w:val="006C2DB3"/>
    <w:rsid w:val="006C370F"/>
    <w:rsid w:val="006D1003"/>
    <w:rsid w:val="006D3FBD"/>
    <w:rsid w:val="006D6982"/>
    <w:rsid w:val="006E2FF8"/>
    <w:rsid w:val="006E3C46"/>
    <w:rsid w:val="006F05A6"/>
    <w:rsid w:val="006F0982"/>
    <w:rsid w:val="006F4256"/>
    <w:rsid w:val="006F6344"/>
    <w:rsid w:val="006F7FCD"/>
    <w:rsid w:val="00701424"/>
    <w:rsid w:val="00702088"/>
    <w:rsid w:val="00711C39"/>
    <w:rsid w:val="00711D7C"/>
    <w:rsid w:val="007148B3"/>
    <w:rsid w:val="00716DAE"/>
    <w:rsid w:val="00716E5E"/>
    <w:rsid w:val="007211E9"/>
    <w:rsid w:val="0072493A"/>
    <w:rsid w:val="007250CC"/>
    <w:rsid w:val="00727044"/>
    <w:rsid w:val="0073076C"/>
    <w:rsid w:val="00740812"/>
    <w:rsid w:val="00743EAD"/>
    <w:rsid w:val="00746870"/>
    <w:rsid w:val="00747E0B"/>
    <w:rsid w:val="007546E6"/>
    <w:rsid w:val="007572EC"/>
    <w:rsid w:val="00763BBC"/>
    <w:rsid w:val="00763CA0"/>
    <w:rsid w:val="00765A8E"/>
    <w:rsid w:val="00766E83"/>
    <w:rsid w:val="00770E8F"/>
    <w:rsid w:val="007713A5"/>
    <w:rsid w:val="007730F2"/>
    <w:rsid w:val="00773829"/>
    <w:rsid w:val="00780B4E"/>
    <w:rsid w:val="00781AB0"/>
    <w:rsid w:val="007863F4"/>
    <w:rsid w:val="00786920"/>
    <w:rsid w:val="00794E14"/>
    <w:rsid w:val="00796EC8"/>
    <w:rsid w:val="00797E0B"/>
    <w:rsid w:val="007A689B"/>
    <w:rsid w:val="007B0B66"/>
    <w:rsid w:val="007B28B2"/>
    <w:rsid w:val="007B4BF8"/>
    <w:rsid w:val="007B728E"/>
    <w:rsid w:val="007C07E7"/>
    <w:rsid w:val="007C09A6"/>
    <w:rsid w:val="007C6244"/>
    <w:rsid w:val="007D013C"/>
    <w:rsid w:val="007D02A2"/>
    <w:rsid w:val="007D4296"/>
    <w:rsid w:val="007E0E23"/>
    <w:rsid w:val="007E138F"/>
    <w:rsid w:val="007E1854"/>
    <w:rsid w:val="007E2433"/>
    <w:rsid w:val="007E5B5D"/>
    <w:rsid w:val="007E6336"/>
    <w:rsid w:val="007E7B07"/>
    <w:rsid w:val="007E7B28"/>
    <w:rsid w:val="007E7B70"/>
    <w:rsid w:val="007F0219"/>
    <w:rsid w:val="007F1081"/>
    <w:rsid w:val="007F15F8"/>
    <w:rsid w:val="007F3065"/>
    <w:rsid w:val="007F7C83"/>
    <w:rsid w:val="008048C3"/>
    <w:rsid w:val="0080529D"/>
    <w:rsid w:val="00805747"/>
    <w:rsid w:val="00806833"/>
    <w:rsid w:val="00810875"/>
    <w:rsid w:val="00811D4F"/>
    <w:rsid w:val="008145D9"/>
    <w:rsid w:val="00816E1B"/>
    <w:rsid w:val="0082059F"/>
    <w:rsid w:val="008220A0"/>
    <w:rsid w:val="00822218"/>
    <w:rsid w:val="00822F2E"/>
    <w:rsid w:val="008233F6"/>
    <w:rsid w:val="008239E7"/>
    <w:rsid w:val="00824D78"/>
    <w:rsid w:val="00826559"/>
    <w:rsid w:val="00833270"/>
    <w:rsid w:val="0083658E"/>
    <w:rsid w:val="00841180"/>
    <w:rsid w:val="0084210E"/>
    <w:rsid w:val="0084525F"/>
    <w:rsid w:val="0085291B"/>
    <w:rsid w:val="008532A5"/>
    <w:rsid w:val="00853561"/>
    <w:rsid w:val="0085779F"/>
    <w:rsid w:val="008578E3"/>
    <w:rsid w:val="00860AED"/>
    <w:rsid w:val="00860B57"/>
    <w:rsid w:val="00861D06"/>
    <w:rsid w:val="0086426C"/>
    <w:rsid w:val="00866830"/>
    <w:rsid w:val="00867B8D"/>
    <w:rsid w:val="00874AFE"/>
    <w:rsid w:val="008753FC"/>
    <w:rsid w:val="00882C07"/>
    <w:rsid w:val="00882CB2"/>
    <w:rsid w:val="00884358"/>
    <w:rsid w:val="0088510B"/>
    <w:rsid w:val="00893A45"/>
    <w:rsid w:val="008963FB"/>
    <w:rsid w:val="008A0347"/>
    <w:rsid w:val="008A3FAA"/>
    <w:rsid w:val="008A53F1"/>
    <w:rsid w:val="008A7DD9"/>
    <w:rsid w:val="008B0351"/>
    <w:rsid w:val="008B08DE"/>
    <w:rsid w:val="008B0A6B"/>
    <w:rsid w:val="008B6354"/>
    <w:rsid w:val="008B6B69"/>
    <w:rsid w:val="008C000C"/>
    <w:rsid w:val="008C1E82"/>
    <w:rsid w:val="008C39CA"/>
    <w:rsid w:val="008C3C9C"/>
    <w:rsid w:val="008D11F7"/>
    <w:rsid w:val="008D30C1"/>
    <w:rsid w:val="008D38C9"/>
    <w:rsid w:val="008E1DFB"/>
    <w:rsid w:val="008E358E"/>
    <w:rsid w:val="008E4F77"/>
    <w:rsid w:val="008E546B"/>
    <w:rsid w:val="008F1029"/>
    <w:rsid w:val="008F14F1"/>
    <w:rsid w:val="008F214B"/>
    <w:rsid w:val="008F3046"/>
    <w:rsid w:val="008F610E"/>
    <w:rsid w:val="008F6FB6"/>
    <w:rsid w:val="00900250"/>
    <w:rsid w:val="00902125"/>
    <w:rsid w:val="00903F61"/>
    <w:rsid w:val="009048CC"/>
    <w:rsid w:val="009068CE"/>
    <w:rsid w:val="00910358"/>
    <w:rsid w:val="00912A22"/>
    <w:rsid w:val="00913A84"/>
    <w:rsid w:val="00913E85"/>
    <w:rsid w:val="0092285E"/>
    <w:rsid w:val="00923413"/>
    <w:rsid w:val="009235BC"/>
    <w:rsid w:val="00924475"/>
    <w:rsid w:val="00924587"/>
    <w:rsid w:val="0092598A"/>
    <w:rsid w:val="00941C6E"/>
    <w:rsid w:val="00945D48"/>
    <w:rsid w:val="00946435"/>
    <w:rsid w:val="009468F7"/>
    <w:rsid w:val="0095109F"/>
    <w:rsid w:val="00951E90"/>
    <w:rsid w:val="00954908"/>
    <w:rsid w:val="00956BFB"/>
    <w:rsid w:val="0095758F"/>
    <w:rsid w:val="009577F9"/>
    <w:rsid w:val="00957ECF"/>
    <w:rsid w:val="00957F01"/>
    <w:rsid w:val="00960063"/>
    <w:rsid w:val="0096013F"/>
    <w:rsid w:val="0096215F"/>
    <w:rsid w:val="00963537"/>
    <w:rsid w:val="00964340"/>
    <w:rsid w:val="00965289"/>
    <w:rsid w:val="00965679"/>
    <w:rsid w:val="0097156C"/>
    <w:rsid w:val="00972B0D"/>
    <w:rsid w:val="00973BE2"/>
    <w:rsid w:val="00973E5F"/>
    <w:rsid w:val="00980F79"/>
    <w:rsid w:val="0098244E"/>
    <w:rsid w:val="00983861"/>
    <w:rsid w:val="00983DFF"/>
    <w:rsid w:val="00986DE3"/>
    <w:rsid w:val="00990DED"/>
    <w:rsid w:val="00992A1F"/>
    <w:rsid w:val="0099627F"/>
    <w:rsid w:val="009A33F6"/>
    <w:rsid w:val="009B0208"/>
    <w:rsid w:val="009B18E2"/>
    <w:rsid w:val="009C227B"/>
    <w:rsid w:val="009C4192"/>
    <w:rsid w:val="009C79F0"/>
    <w:rsid w:val="009D0804"/>
    <w:rsid w:val="009D0F2F"/>
    <w:rsid w:val="009D17AF"/>
    <w:rsid w:val="009D275E"/>
    <w:rsid w:val="009E520B"/>
    <w:rsid w:val="009F1686"/>
    <w:rsid w:val="009F456E"/>
    <w:rsid w:val="009F54C0"/>
    <w:rsid w:val="00A012B0"/>
    <w:rsid w:val="00A06F5D"/>
    <w:rsid w:val="00A07F87"/>
    <w:rsid w:val="00A12479"/>
    <w:rsid w:val="00A202D9"/>
    <w:rsid w:val="00A20A9B"/>
    <w:rsid w:val="00A20CA9"/>
    <w:rsid w:val="00A21310"/>
    <w:rsid w:val="00A2146D"/>
    <w:rsid w:val="00A22BDE"/>
    <w:rsid w:val="00A24A86"/>
    <w:rsid w:val="00A24DA8"/>
    <w:rsid w:val="00A309C2"/>
    <w:rsid w:val="00A3716C"/>
    <w:rsid w:val="00A37A32"/>
    <w:rsid w:val="00A414AC"/>
    <w:rsid w:val="00A41F67"/>
    <w:rsid w:val="00A44101"/>
    <w:rsid w:val="00A5174B"/>
    <w:rsid w:val="00A526D4"/>
    <w:rsid w:val="00A550CA"/>
    <w:rsid w:val="00A60863"/>
    <w:rsid w:val="00A61780"/>
    <w:rsid w:val="00A61A80"/>
    <w:rsid w:val="00A62A27"/>
    <w:rsid w:val="00A6327E"/>
    <w:rsid w:val="00A637D3"/>
    <w:rsid w:val="00A65DDA"/>
    <w:rsid w:val="00A66968"/>
    <w:rsid w:val="00A67BA6"/>
    <w:rsid w:val="00A72BD9"/>
    <w:rsid w:val="00A733E6"/>
    <w:rsid w:val="00A7444D"/>
    <w:rsid w:val="00A77C3A"/>
    <w:rsid w:val="00A77D94"/>
    <w:rsid w:val="00A828F0"/>
    <w:rsid w:val="00A84803"/>
    <w:rsid w:val="00A84A41"/>
    <w:rsid w:val="00A93174"/>
    <w:rsid w:val="00A95B73"/>
    <w:rsid w:val="00A960F3"/>
    <w:rsid w:val="00A968D5"/>
    <w:rsid w:val="00A97397"/>
    <w:rsid w:val="00AA0D16"/>
    <w:rsid w:val="00AA2688"/>
    <w:rsid w:val="00AA3E7C"/>
    <w:rsid w:val="00AA5B42"/>
    <w:rsid w:val="00AA782B"/>
    <w:rsid w:val="00AB20AA"/>
    <w:rsid w:val="00AB3186"/>
    <w:rsid w:val="00AB3647"/>
    <w:rsid w:val="00AB3788"/>
    <w:rsid w:val="00AB7E6E"/>
    <w:rsid w:val="00AC1A35"/>
    <w:rsid w:val="00AC5A66"/>
    <w:rsid w:val="00AC6C1A"/>
    <w:rsid w:val="00AD0D24"/>
    <w:rsid w:val="00AD1E5C"/>
    <w:rsid w:val="00AD31A7"/>
    <w:rsid w:val="00AD4950"/>
    <w:rsid w:val="00AD6F89"/>
    <w:rsid w:val="00AE27B1"/>
    <w:rsid w:val="00AE3E4D"/>
    <w:rsid w:val="00AF048D"/>
    <w:rsid w:val="00AF2E21"/>
    <w:rsid w:val="00AF3368"/>
    <w:rsid w:val="00AF584C"/>
    <w:rsid w:val="00AF6CB9"/>
    <w:rsid w:val="00B0139D"/>
    <w:rsid w:val="00B0210C"/>
    <w:rsid w:val="00B02315"/>
    <w:rsid w:val="00B0542D"/>
    <w:rsid w:val="00B067E4"/>
    <w:rsid w:val="00B12068"/>
    <w:rsid w:val="00B139B1"/>
    <w:rsid w:val="00B14AED"/>
    <w:rsid w:val="00B15979"/>
    <w:rsid w:val="00B161A9"/>
    <w:rsid w:val="00B16348"/>
    <w:rsid w:val="00B1661B"/>
    <w:rsid w:val="00B205F1"/>
    <w:rsid w:val="00B20890"/>
    <w:rsid w:val="00B214C2"/>
    <w:rsid w:val="00B22A1D"/>
    <w:rsid w:val="00B2349C"/>
    <w:rsid w:val="00B2584E"/>
    <w:rsid w:val="00B26D72"/>
    <w:rsid w:val="00B27F2F"/>
    <w:rsid w:val="00B3268B"/>
    <w:rsid w:val="00B338D5"/>
    <w:rsid w:val="00B3447C"/>
    <w:rsid w:val="00B348CC"/>
    <w:rsid w:val="00B35073"/>
    <w:rsid w:val="00B351EC"/>
    <w:rsid w:val="00B353BD"/>
    <w:rsid w:val="00B3600E"/>
    <w:rsid w:val="00B405A3"/>
    <w:rsid w:val="00B427C3"/>
    <w:rsid w:val="00B42D64"/>
    <w:rsid w:val="00B46EE7"/>
    <w:rsid w:val="00B475A3"/>
    <w:rsid w:val="00B47ECF"/>
    <w:rsid w:val="00B534EA"/>
    <w:rsid w:val="00B54144"/>
    <w:rsid w:val="00B54179"/>
    <w:rsid w:val="00B55186"/>
    <w:rsid w:val="00B55E31"/>
    <w:rsid w:val="00B5759A"/>
    <w:rsid w:val="00B57E74"/>
    <w:rsid w:val="00B6042B"/>
    <w:rsid w:val="00B6644C"/>
    <w:rsid w:val="00B7098E"/>
    <w:rsid w:val="00B71C64"/>
    <w:rsid w:val="00B71E3A"/>
    <w:rsid w:val="00B76884"/>
    <w:rsid w:val="00B8053F"/>
    <w:rsid w:val="00B81997"/>
    <w:rsid w:val="00B81A65"/>
    <w:rsid w:val="00B85F54"/>
    <w:rsid w:val="00B90F4C"/>
    <w:rsid w:val="00B925B8"/>
    <w:rsid w:val="00B94687"/>
    <w:rsid w:val="00BA4DA9"/>
    <w:rsid w:val="00BA6011"/>
    <w:rsid w:val="00BA7E77"/>
    <w:rsid w:val="00BA7EE3"/>
    <w:rsid w:val="00BB0A60"/>
    <w:rsid w:val="00BB4C2A"/>
    <w:rsid w:val="00BB5BA0"/>
    <w:rsid w:val="00BC111E"/>
    <w:rsid w:val="00BC31BB"/>
    <w:rsid w:val="00BC3EFF"/>
    <w:rsid w:val="00BC51E4"/>
    <w:rsid w:val="00BC652F"/>
    <w:rsid w:val="00BD1D3A"/>
    <w:rsid w:val="00BD44A7"/>
    <w:rsid w:val="00BD58C7"/>
    <w:rsid w:val="00BD65AF"/>
    <w:rsid w:val="00BD67F5"/>
    <w:rsid w:val="00BD6B8D"/>
    <w:rsid w:val="00BE00B2"/>
    <w:rsid w:val="00BE1F5D"/>
    <w:rsid w:val="00BE62C6"/>
    <w:rsid w:val="00BE6899"/>
    <w:rsid w:val="00BE6E75"/>
    <w:rsid w:val="00BE7F24"/>
    <w:rsid w:val="00BF0BDF"/>
    <w:rsid w:val="00BF1924"/>
    <w:rsid w:val="00BF24D2"/>
    <w:rsid w:val="00BF2E91"/>
    <w:rsid w:val="00BF65B3"/>
    <w:rsid w:val="00C01568"/>
    <w:rsid w:val="00C01A6E"/>
    <w:rsid w:val="00C037F4"/>
    <w:rsid w:val="00C0447E"/>
    <w:rsid w:val="00C04944"/>
    <w:rsid w:val="00C07F4D"/>
    <w:rsid w:val="00C10DB9"/>
    <w:rsid w:val="00C12B71"/>
    <w:rsid w:val="00C12D29"/>
    <w:rsid w:val="00C12D85"/>
    <w:rsid w:val="00C13397"/>
    <w:rsid w:val="00C136DD"/>
    <w:rsid w:val="00C16ABF"/>
    <w:rsid w:val="00C2195F"/>
    <w:rsid w:val="00C2614E"/>
    <w:rsid w:val="00C26BE3"/>
    <w:rsid w:val="00C332F0"/>
    <w:rsid w:val="00C334DC"/>
    <w:rsid w:val="00C35676"/>
    <w:rsid w:val="00C405FD"/>
    <w:rsid w:val="00C42DAA"/>
    <w:rsid w:val="00C43C66"/>
    <w:rsid w:val="00C44AA6"/>
    <w:rsid w:val="00C4686F"/>
    <w:rsid w:val="00C5215D"/>
    <w:rsid w:val="00C56B2B"/>
    <w:rsid w:val="00C56D8A"/>
    <w:rsid w:val="00C57D4A"/>
    <w:rsid w:val="00C633CB"/>
    <w:rsid w:val="00C709F5"/>
    <w:rsid w:val="00C72B59"/>
    <w:rsid w:val="00C75E81"/>
    <w:rsid w:val="00C770E3"/>
    <w:rsid w:val="00C77112"/>
    <w:rsid w:val="00C8000E"/>
    <w:rsid w:val="00C80544"/>
    <w:rsid w:val="00C82196"/>
    <w:rsid w:val="00C826E7"/>
    <w:rsid w:val="00C83604"/>
    <w:rsid w:val="00C83C81"/>
    <w:rsid w:val="00C84D44"/>
    <w:rsid w:val="00C86D0C"/>
    <w:rsid w:val="00C9581B"/>
    <w:rsid w:val="00C96606"/>
    <w:rsid w:val="00C97648"/>
    <w:rsid w:val="00CA1A6A"/>
    <w:rsid w:val="00CA46F9"/>
    <w:rsid w:val="00CA5032"/>
    <w:rsid w:val="00CA70BF"/>
    <w:rsid w:val="00CB0027"/>
    <w:rsid w:val="00CB12B7"/>
    <w:rsid w:val="00CB248A"/>
    <w:rsid w:val="00CB2798"/>
    <w:rsid w:val="00CB5C8B"/>
    <w:rsid w:val="00CB73E7"/>
    <w:rsid w:val="00CB7687"/>
    <w:rsid w:val="00CB7B7D"/>
    <w:rsid w:val="00CD2D7D"/>
    <w:rsid w:val="00CD434E"/>
    <w:rsid w:val="00CD4E10"/>
    <w:rsid w:val="00CD646B"/>
    <w:rsid w:val="00CE13B5"/>
    <w:rsid w:val="00CF226D"/>
    <w:rsid w:val="00CF6055"/>
    <w:rsid w:val="00CF70EC"/>
    <w:rsid w:val="00D00120"/>
    <w:rsid w:val="00D018F0"/>
    <w:rsid w:val="00D066B7"/>
    <w:rsid w:val="00D1034E"/>
    <w:rsid w:val="00D150AF"/>
    <w:rsid w:val="00D1546E"/>
    <w:rsid w:val="00D212BA"/>
    <w:rsid w:val="00D21D8F"/>
    <w:rsid w:val="00D241A5"/>
    <w:rsid w:val="00D27067"/>
    <w:rsid w:val="00D27521"/>
    <w:rsid w:val="00D275D3"/>
    <w:rsid w:val="00D31831"/>
    <w:rsid w:val="00D31C4A"/>
    <w:rsid w:val="00D33D7E"/>
    <w:rsid w:val="00D34689"/>
    <w:rsid w:val="00D3640D"/>
    <w:rsid w:val="00D45918"/>
    <w:rsid w:val="00D517DD"/>
    <w:rsid w:val="00D519D9"/>
    <w:rsid w:val="00D52370"/>
    <w:rsid w:val="00D52B54"/>
    <w:rsid w:val="00D531BD"/>
    <w:rsid w:val="00D5512D"/>
    <w:rsid w:val="00D5661A"/>
    <w:rsid w:val="00D60AA8"/>
    <w:rsid w:val="00D611DB"/>
    <w:rsid w:val="00D615C2"/>
    <w:rsid w:val="00D63078"/>
    <w:rsid w:val="00D63203"/>
    <w:rsid w:val="00D65665"/>
    <w:rsid w:val="00D7096A"/>
    <w:rsid w:val="00D76056"/>
    <w:rsid w:val="00D800A5"/>
    <w:rsid w:val="00D81FD4"/>
    <w:rsid w:val="00D863DE"/>
    <w:rsid w:val="00D87023"/>
    <w:rsid w:val="00D8758E"/>
    <w:rsid w:val="00D87FAD"/>
    <w:rsid w:val="00D904BB"/>
    <w:rsid w:val="00D91016"/>
    <w:rsid w:val="00D93897"/>
    <w:rsid w:val="00D97025"/>
    <w:rsid w:val="00DA350B"/>
    <w:rsid w:val="00DA4ED1"/>
    <w:rsid w:val="00DA6241"/>
    <w:rsid w:val="00DB2A9F"/>
    <w:rsid w:val="00DB725D"/>
    <w:rsid w:val="00DC2360"/>
    <w:rsid w:val="00DC56BE"/>
    <w:rsid w:val="00DD1CAE"/>
    <w:rsid w:val="00DD1DD1"/>
    <w:rsid w:val="00DD5FAC"/>
    <w:rsid w:val="00DD6579"/>
    <w:rsid w:val="00DE09BC"/>
    <w:rsid w:val="00DE4831"/>
    <w:rsid w:val="00DE49DC"/>
    <w:rsid w:val="00DE5897"/>
    <w:rsid w:val="00DE5C51"/>
    <w:rsid w:val="00DE7610"/>
    <w:rsid w:val="00DF134E"/>
    <w:rsid w:val="00DF54D1"/>
    <w:rsid w:val="00DF7477"/>
    <w:rsid w:val="00DF75CC"/>
    <w:rsid w:val="00DF7B02"/>
    <w:rsid w:val="00E039C1"/>
    <w:rsid w:val="00E04E82"/>
    <w:rsid w:val="00E06521"/>
    <w:rsid w:val="00E103E1"/>
    <w:rsid w:val="00E11A52"/>
    <w:rsid w:val="00E124BD"/>
    <w:rsid w:val="00E12878"/>
    <w:rsid w:val="00E14A4A"/>
    <w:rsid w:val="00E21773"/>
    <w:rsid w:val="00E327D2"/>
    <w:rsid w:val="00E327FD"/>
    <w:rsid w:val="00E33018"/>
    <w:rsid w:val="00E33206"/>
    <w:rsid w:val="00E407B4"/>
    <w:rsid w:val="00E41139"/>
    <w:rsid w:val="00E42B41"/>
    <w:rsid w:val="00E43745"/>
    <w:rsid w:val="00E437E5"/>
    <w:rsid w:val="00E46F88"/>
    <w:rsid w:val="00E56AEB"/>
    <w:rsid w:val="00E60543"/>
    <w:rsid w:val="00E6174B"/>
    <w:rsid w:val="00E64AC6"/>
    <w:rsid w:val="00E718E0"/>
    <w:rsid w:val="00E72CF1"/>
    <w:rsid w:val="00E73BA4"/>
    <w:rsid w:val="00E807AA"/>
    <w:rsid w:val="00E944D6"/>
    <w:rsid w:val="00E94A14"/>
    <w:rsid w:val="00E9573F"/>
    <w:rsid w:val="00E975FE"/>
    <w:rsid w:val="00E97D02"/>
    <w:rsid w:val="00EA21E4"/>
    <w:rsid w:val="00EA4594"/>
    <w:rsid w:val="00EA4EB4"/>
    <w:rsid w:val="00EA5F00"/>
    <w:rsid w:val="00EB2C90"/>
    <w:rsid w:val="00EB32A4"/>
    <w:rsid w:val="00EB4509"/>
    <w:rsid w:val="00EB4FA0"/>
    <w:rsid w:val="00EB5044"/>
    <w:rsid w:val="00EB7918"/>
    <w:rsid w:val="00EB7D51"/>
    <w:rsid w:val="00EC0F9C"/>
    <w:rsid w:val="00EC2E7A"/>
    <w:rsid w:val="00EC45AC"/>
    <w:rsid w:val="00EC5520"/>
    <w:rsid w:val="00EC559D"/>
    <w:rsid w:val="00ED1AC5"/>
    <w:rsid w:val="00ED2A2E"/>
    <w:rsid w:val="00ED2BB9"/>
    <w:rsid w:val="00ED2F30"/>
    <w:rsid w:val="00ED4774"/>
    <w:rsid w:val="00ED4C0C"/>
    <w:rsid w:val="00ED56F6"/>
    <w:rsid w:val="00ED6DE3"/>
    <w:rsid w:val="00EE1126"/>
    <w:rsid w:val="00EE1A3E"/>
    <w:rsid w:val="00EE5EAF"/>
    <w:rsid w:val="00EE6EB4"/>
    <w:rsid w:val="00EF061E"/>
    <w:rsid w:val="00EF1195"/>
    <w:rsid w:val="00EF31B2"/>
    <w:rsid w:val="00EF42FB"/>
    <w:rsid w:val="00EF5772"/>
    <w:rsid w:val="00EF68D0"/>
    <w:rsid w:val="00EF74E4"/>
    <w:rsid w:val="00F01002"/>
    <w:rsid w:val="00F040B6"/>
    <w:rsid w:val="00F13E73"/>
    <w:rsid w:val="00F17698"/>
    <w:rsid w:val="00F20F1F"/>
    <w:rsid w:val="00F23D7F"/>
    <w:rsid w:val="00F26DEE"/>
    <w:rsid w:val="00F27208"/>
    <w:rsid w:val="00F30879"/>
    <w:rsid w:val="00F32308"/>
    <w:rsid w:val="00F34446"/>
    <w:rsid w:val="00F3638C"/>
    <w:rsid w:val="00F374B1"/>
    <w:rsid w:val="00F37A29"/>
    <w:rsid w:val="00F37DB9"/>
    <w:rsid w:val="00F37E09"/>
    <w:rsid w:val="00F407BE"/>
    <w:rsid w:val="00F40C12"/>
    <w:rsid w:val="00F42A55"/>
    <w:rsid w:val="00F42F42"/>
    <w:rsid w:val="00F44B5F"/>
    <w:rsid w:val="00F45102"/>
    <w:rsid w:val="00F46FF0"/>
    <w:rsid w:val="00F47112"/>
    <w:rsid w:val="00F53B2D"/>
    <w:rsid w:val="00F577A2"/>
    <w:rsid w:val="00F65199"/>
    <w:rsid w:val="00F6699C"/>
    <w:rsid w:val="00F67E39"/>
    <w:rsid w:val="00F70841"/>
    <w:rsid w:val="00F7547A"/>
    <w:rsid w:val="00F75CFE"/>
    <w:rsid w:val="00F770FC"/>
    <w:rsid w:val="00F77DCC"/>
    <w:rsid w:val="00F8109D"/>
    <w:rsid w:val="00F81FBD"/>
    <w:rsid w:val="00F94D89"/>
    <w:rsid w:val="00F95C9C"/>
    <w:rsid w:val="00FA1A2C"/>
    <w:rsid w:val="00FA7174"/>
    <w:rsid w:val="00FB2C3C"/>
    <w:rsid w:val="00FB2EA9"/>
    <w:rsid w:val="00FB4B25"/>
    <w:rsid w:val="00FB5DD0"/>
    <w:rsid w:val="00FB6375"/>
    <w:rsid w:val="00FC5D6A"/>
    <w:rsid w:val="00FC6E83"/>
    <w:rsid w:val="00FC7F0C"/>
    <w:rsid w:val="00FD13A5"/>
    <w:rsid w:val="00FD2F2A"/>
    <w:rsid w:val="00FD375E"/>
    <w:rsid w:val="00FD5791"/>
    <w:rsid w:val="00FE05D4"/>
    <w:rsid w:val="00FE5C35"/>
    <w:rsid w:val="00FE75D3"/>
    <w:rsid w:val="00FE78CE"/>
    <w:rsid w:val="00FF43B3"/>
    <w:rsid w:val="02476AA9"/>
    <w:rsid w:val="02922D7E"/>
    <w:rsid w:val="048640FA"/>
    <w:rsid w:val="0596441A"/>
    <w:rsid w:val="05A5367C"/>
    <w:rsid w:val="064A1377"/>
    <w:rsid w:val="06991E1A"/>
    <w:rsid w:val="092158DD"/>
    <w:rsid w:val="0B067553"/>
    <w:rsid w:val="0B4C5AF3"/>
    <w:rsid w:val="0B98576B"/>
    <w:rsid w:val="0CCC4DD2"/>
    <w:rsid w:val="0CD033DF"/>
    <w:rsid w:val="0CFC51A3"/>
    <w:rsid w:val="0DFE7F07"/>
    <w:rsid w:val="10991E02"/>
    <w:rsid w:val="176A3135"/>
    <w:rsid w:val="18DF7C5C"/>
    <w:rsid w:val="1A1C0FF0"/>
    <w:rsid w:val="1B390854"/>
    <w:rsid w:val="1CB40310"/>
    <w:rsid w:val="1D0579BB"/>
    <w:rsid w:val="1E302B4E"/>
    <w:rsid w:val="1F23291B"/>
    <w:rsid w:val="23CF40F1"/>
    <w:rsid w:val="24A86EEC"/>
    <w:rsid w:val="24F928DA"/>
    <w:rsid w:val="2554537E"/>
    <w:rsid w:val="2A1848BF"/>
    <w:rsid w:val="2E2F2895"/>
    <w:rsid w:val="311A1B69"/>
    <w:rsid w:val="31255953"/>
    <w:rsid w:val="315251D0"/>
    <w:rsid w:val="329E4E77"/>
    <w:rsid w:val="36CE1A9A"/>
    <w:rsid w:val="386560D6"/>
    <w:rsid w:val="38DB5ED4"/>
    <w:rsid w:val="3B951463"/>
    <w:rsid w:val="3E226395"/>
    <w:rsid w:val="3F384291"/>
    <w:rsid w:val="4011274D"/>
    <w:rsid w:val="40C815F2"/>
    <w:rsid w:val="41A357DE"/>
    <w:rsid w:val="434C4801"/>
    <w:rsid w:val="43B33FB0"/>
    <w:rsid w:val="449C0AA5"/>
    <w:rsid w:val="457659C8"/>
    <w:rsid w:val="4AFE6514"/>
    <w:rsid w:val="4B594FC7"/>
    <w:rsid w:val="4BB61D67"/>
    <w:rsid w:val="4D522CE7"/>
    <w:rsid w:val="4FDA5AB5"/>
    <w:rsid w:val="50D07598"/>
    <w:rsid w:val="51CB794B"/>
    <w:rsid w:val="5298124C"/>
    <w:rsid w:val="546F0CA1"/>
    <w:rsid w:val="571B7C30"/>
    <w:rsid w:val="578642E1"/>
    <w:rsid w:val="615E0F0D"/>
    <w:rsid w:val="6238086A"/>
    <w:rsid w:val="629466C5"/>
    <w:rsid w:val="63240263"/>
    <w:rsid w:val="639B589E"/>
    <w:rsid w:val="64362D93"/>
    <w:rsid w:val="65A94340"/>
    <w:rsid w:val="65FC3D43"/>
    <w:rsid w:val="682E43B9"/>
    <w:rsid w:val="69C863F9"/>
    <w:rsid w:val="6C142705"/>
    <w:rsid w:val="6D7B6A11"/>
    <w:rsid w:val="6E650E3F"/>
    <w:rsid w:val="6F0D6921"/>
    <w:rsid w:val="6F287BCF"/>
    <w:rsid w:val="6FB24741"/>
    <w:rsid w:val="6FC63A42"/>
    <w:rsid w:val="74D13CE0"/>
    <w:rsid w:val="75041F8A"/>
    <w:rsid w:val="75A808A2"/>
    <w:rsid w:val="79C43C9B"/>
    <w:rsid w:val="7ACB78FA"/>
    <w:rsid w:val="7B51166F"/>
    <w:rsid w:val="7CF053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2">
    <w:name w:val="heading 1"/>
    <w:basedOn w:val="1"/>
    <w:next w:val="1"/>
    <w:link w:val="40"/>
    <w:qFormat/>
    <w:uiPriority w:val="9"/>
    <w:pPr>
      <w:keepNext/>
      <w:keepLines/>
      <w:spacing w:before="240" w:after="240"/>
      <w:ind w:firstLine="0" w:firstLineChars="0"/>
      <w:jc w:val="center"/>
      <w:outlineLvl w:val="0"/>
    </w:pPr>
    <w:rPr>
      <w:rFonts w:eastAsia="黑体"/>
      <w:b/>
      <w:bCs/>
      <w:kern w:val="44"/>
      <w:sz w:val="32"/>
      <w:szCs w:val="44"/>
    </w:rPr>
  </w:style>
  <w:style w:type="paragraph" w:styleId="3">
    <w:name w:val="heading 2"/>
    <w:basedOn w:val="1"/>
    <w:next w:val="1"/>
    <w:link w:val="41"/>
    <w:qFormat/>
    <w:uiPriority w:val="9"/>
    <w:pPr>
      <w:keepNext/>
      <w:keepLines/>
      <w:spacing w:before="240" w:after="240"/>
      <w:ind w:firstLine="0" w:firstLineChars="0"/>
      <w:jc w:val="center"/>
      <w:outlineLvl w:val="1"/>
    </w:pPr>
    <w:rPr>
      <w:rFonts w:eastAsia="楷体"/>
      <w:b/>
      <w:bCs/>
      <w:sz w:val="32"/>
      <w:szCs w:val="32"/>
    </w:rPr>
  </w:style>
  <w:style w:type="paragraph" w:styleId="4">
    <w:name w:val="heading 3"/>
    <w:basedOn w:val="1"/>
    <w:next w:val="1"/>
    <w:link w:val="42"/>
    <w:qFormat/>
    <w:uiPriority w:val="9"/>
    <w:pPr>
      <w:keepNext/>
      <w:keepLines/>
      <w:spacing w:before="120" w:after="120"/>
      <w:outlineLvl w:val="2"/>
    </w:pPr>
    <w:rPr>
      <w:b/>
      <w:bCs/>
      <w:sz w:val="30"/>
      <w:szCs w:val="32"/>
    </w:rPr>
  </w:style>
  <w:style w:type="paragraph" w:styleId="5">
    <w:name w:val="heading 4"/>
    <w:basedOn w:val="1"/>
    <w:next w:val="1"/>
    <w:link w:val="43"/>
    <w:qFormat/>
    <w:uiPriority w:val="99"/>
    <w:pPr>
      <w:keepNext/>
      <w:keepLines/>
      <w:spacing w:before="280" w:after="290" w:line="376" w:lineRule="auto"/>
      <w:outlineLvl w:val="3"/>
    </w:pPr>
    <w:rPr>
      <w:rFonts w:ascii="Cambria" w:hAnsi="Cambria"/>
      <w:b/>
      <w:bCs/>
      <w:szCs w:val="28"/>
    </w:rPr>
  </w:style>
  <w:style w:type="paragraph" w:styleId="6">
    <w:name w:val="heading 5"/>
    <w:basedOn w:val="1"/>
    <w:next w:val="1"/>
    <w:link w:val="81"/>
    <w:unhideWhenUsed/>
    <w:qFormat/>
    <w:locked/>
    <w:uiPriority w:val="0"/>
    <w:pPr>
      <w:keepNext/>
      <w:keepLines/>
      <w:outlineLvl w:val="4"/>
    </w:pPr>
    <w:rPr>
      <w:b/>
      <w:bCs/>
      <w:szCs w:val="28"/>
    </w:rPr>
  </w:style>
  <w:style w:type="character" w:default="1" w:styleId="31">
    <w:name w:val="Default Paragraph Font"/>
    <w:unhideWhenUsed/>
    <w:qFormat/>
    <w:uiPriority w:val="1"/>
  </w:style>
  <w:style w:type="table" w:default="1" w:styleId="3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85"/>
    <w:unhideWhenUsed/>
    <w:qFormat/>
    <w:uiPriority w:val="99"/>
    <w:rPr>
      <w:b/>
      <w:bCs/>
    </w:rPr>
  </w:style>
  <w:style w:type="paragraph" w:styleId="8">
    <w:name w:val="annotation text"/>
    <w:basedOn w:val="1"/>
    <w:link w:val="84"/>
    <w:unhideWhenUsed/>
    <w:qFormat/>
    <w:uiPriority w:val="99"/>
    <w:pPr>
      <w:jc w:val="left"/>
    </w:pPr>
  </w:style>
  <w:style w:type="paragraph" w:styleId="9">
    <w:name w:val="toc 7"/>
    <w:basedOn w:val="1"/>
    <w:next w:val="1"/>
    <w:qFormat/>
    <w:locked/>
    <w:uiPriority w:val="0"/>
    <w:pPr>
      <w:ind w:left="1440"/>
      <w:jc w:val="left"/>
    </w:pPr>
    <w:rPr>
      <w:rFonts w:asciiTheme="minorHAnsi" w:hAnsiTheme="minorHAnsi" w:cstheme="minorHAnsi"/>
      <w:sz w:val="18"/>
      <w:szCs w:val="18"/>
    </w:rPr>
  </w:style>
  <w:style w:type="paragraph" w:styleId="10">
    <w:name w:val="Document Map"/>
    <w:basedOn w:val="1"/>
    <w:link w:val="57"/>
    <w:qFormat/>
    <w:uiPriority w:val="99"/>
    <w:pPr>
      <w:spacing w:line="240" w:lineRule="auto"/>
      <w:ind w:firstLine="0" w:firstLineChars="0"/>
    </w:pPr>
    <w:rPr>
      <w:rFonts w:ascii="宋体" w:hAnsi="Calibri"/>
      <w:sz w:val="18"/>
      <w:szCs w:val="20"/>
    </w:rPr>
  </w:style>
  <w:style w:type="paragraph" w:styleId="11">
    <w:name w:val="Body Text"/>
    <w:basedOn w:val="1"/>
    <w:link w:val="51"/>
    <w:qFormat/>
    <w:uiPriority w:val="99"/>
    <w:pPr>
      <w:spacing w:after="120"/>
    </w:pPr>
    <w:rPr>
      <w:szCs w:val="24"/>
    </w:rPr>
  </w:style>
  <w:style w:type="paragraph" w:styleId="12">
    <w:name w:val="Body Text Indent"/>
    <w:basedOn w:val="1"/>
    <w:link w:val="49"/>
    <w:qFormat/>
    <w:uiPriority w:val="99"/>
    <w:pPr>
      <w:spacing w:line="560" w:lineRule="exact"/>
      <w:ind w:firstLine="600"/>
    </w:pPr>
    <w:rPr>
      <w:rFonts w:ascii="仿宋_GB2312" w:eastAsia="仿宋_GB2312"/>
      <w:sz w:val="32"/>
      <w:szCs w:val="20"/>
    </w:rPr>
  </w:style>
  <w:style w:type="paragraph" w:styleId="13">
    <w:name w:val="toc 5"/>
    <w:basedOn w:val="1"/>
    <w:next w:val="1"/>
    <w:qFormat/>
    <w:locked/>
    <w:uiPriority w:val="0"/>
    <w:pPr>
      <w:ind w:left="960"/>
      <w:jc w:val="left"/>
    </w:pPr>
    <w:rPr>
      <w:rFonts w:asciiTheme="minorHAnsi" w:hAnsiTheme="minorHAnsi" w:cstheme="minorHAnsi"/>
      <w:sz w:val="18"/>
      <w:szCs w:val="18"/>
    </w:rPr>
  </w:style>
  <w:style w:type="paragraph" w:styleId="14">
    <w:name w:val="toc 3"/>
    <w:basedOn w:val="1"/>
    <w:next w:val="1"/>
    <w:qFormat/>
    <w:locked/>
    <w:uiPriority w:val="39"/>
    <w:pPr>
      <w:ind w:left="480"/>
      <w:jc w:val="left"/>
    </w:pPr>
    <w:rPr>
      <w:rFonts w:asciiTheme="minorHAnsi" w:hAnsiTheme="minorHAnsi" w:cstheme="minorHAnsi"/>
      <w:i/>
      <w:iCs/>
      <w:sz w:val="20"/>
      <w:szCs w:val="20"/>
    </w:rPr>
  </w:style>
  <w:style w:type="paragraph" w:styleId="15">
    <w:name w:val="Plain Text"/>
    <w:basedOn w:val="1"/>
    <w:link w:val="54"/>
    <w:qFormat/>
    <w:uiPriority w:val="0"/>
    <w:rPr>
      <w:rFonts w:ascii="宋体" w:hAnsi="Courier New" w:cs="Courier New"/>
      <w:szCs w:val="21"/>
    </w:rPr>
  </w:style>
  <w:style w:type="paragraph" w:styleId="16">
    <w:name w:val="toc 8"/>
    <w:basedOn w:val="1"/>
    <w:next w:val="1"/>
    <w:qFormat/>
    <w:locked/>
    <w:uiPriority w:val="0"/>
    <w:pPr>
      <w:ind w:left="1680"/>
      <w:jc w:val="left"/>
    </w:pPr>
    <w:rPr>
      <w:rFonts w:asciiTheme="minorHAnsi" w:hAnsiTheme="minorHAnsi" w:cstheme="minorHAnsi"/>
      <w:sz w:val="18"/>
      <w:szCs w:val="18"/>
    </w:rPr>
  </w:style>
  <w:style w:type="paragraph" w:styleId="17">
    <w:name w:val="Date"/>
    <w:basedOn w:val="1"/>
    <w:next w:val="1"/>
    <w:link w:val="80"/>
    <w:unhideWhenUsed/>
    <w:qFormat/>
    <w:uiPriority w:val="99"/>
    <w:pPr>
      <w:ind w:left="100" w:leftChars="2500"/>
    </w:pPr>
  </w:style>
  <w:style w:type="paragraph" w:styleId="18">
    <w:name w:val="Balloon Text"/>
    <w:basedOn w:val="1"/>
    <w:link w:val="53"/>
    <w:qFormat/>
    <w:uiPriority w:val="0"/>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locked/>
    <w:uiPriority w:val="39"/>
    <w:pPr>
      <w:spacing w:before="120" w:after="120"/>
      <w:jc w:val="left"/>
    </w:pPr>
    <w:rPr>
      <w:rFonts w:asciiTheme="minorHAnsi" w:hAnsiTheme="minorHAnsi" w:cstheme="minorHAnsi"/>
      <w:b/>
      <w:bCs/>
      <w:caps/>
      <w:sz w:val="20"/>
      <w:szCs w:val="20"/>
    </w:rPr>
  </w:style>
  <w:style w:type="paragraph" w:styleId="22">
    <w:name w:val="toc 4"/>
    <w:basedOn w:val="1"/>
    <w:next w:val="1"/>
    <w:qFormat/>
    <w:locked/>
    <w:uiPriority w:val="0"/>
    <w:pPr>
      <w:ind w:left="720"/>
      <w:jc w:val="left"/>
    </w:pPr>
    <w:rPr>
      <w:rFonts w:asciiTheme="minorHAnsi" w:hAnsiTheme="minorHAnsi" w:cstheme="minorHAnsi"/>
      <w:sz w:val="18"/>
      <w:szCs w:val="18"/>
    </w:rPr>
  </w:style>
  <w:style w:type="paragraph" w:styleId="23">
    <w:name w:val="Subtitle"/>
    <w:basedOn w:val="1"/>
    <w:next w:val="1"/>
    <w:link w:val="83"/>
    <w:qFormat/>
    <w:locked/>
    <w:uiPriority w:val="0"/>
    <w:pPr>
      <w:ind w:firstLine="0" w:firstLineChars="0"/>
      <w:jc w:val="center"/>
      <w:outlineLvl w:val="1"/>
    </w:pPr>
    <w:rPr>
      <w:rFonts w:eastAsia="黑体" w:cstheme="majorBidi"/>
      <w:bCs/>
      <w:kern w:val="28"/>
      <w:sz w:val="24"/>
      <w:szCs w:val="32"/>
    </w:rPr>
  </w:style>
  <w:style w:type="paragraph" w:styleId="24">
    <w:name w:val="footnote text"/>
    <w:basedOn w:val="1"/>
    <w:link w:val="50"/>
    <w:qFormat/>
    <w:uiPriority w:val="99"/>
    <w:pPr>
      <w:snapToGrid w:val="0"/>
      <w:jc w:val="left"/>
    </w:pPr>
    <w:rPr>
      <w:sz w:val="18"/>
      <w:szCs w:val="18"/>
    </w:rPr>
  </w:style>
  <w:style w:type="paragraph" w:styleId="25">
    <w:name w:val="toc 6"/>
    <w:basedOn w:val="1"/>
    <w:next w:val="1"/>
    <w:qFormat/>
    <w:locked/>
    <w:uiPriority w:val="0"/>
    <w:pPr>
      <w:ind w:left="1200"/>
      <w:jc w:val="left"/>
    </w:pPr>
    <w:rPr>
      <w:rFonts w:asciiTheme="minorHAnsi" w:hAnsiTheme="minorHAnsi" w:cstheme="minorHAnsi"/>
      <w:sz w:val="18"/>
      <w:szCs w:val="18"/>
    </w:rPr>
  </w:style>
  <w:style w:type="paragraph" w:styleId="26">
    <w:name w:val="toc 2"/>
    <w:basedOn w:val="1"/>
    <w:next w:val="1"/>
    <w:qFormat/>
    <w:locked/>
    <w:uiPriority w:val="39"/>
    <w:pPr>
      <w:ind w:left="240"/>
      <w:jc w:val="left"/>
    </w:pPr>
    <w:rPr>
      <w:rFonts w:asciiTheme="minorHAnsi" w:hAnsiTheme="minorHAnsi" w:cstheme="minorHAnsi"/>
      <w:smallCaps/>
      <w:sz w:val="20"/>
      <w:szCs w:val="20"/>
    </w:rPr>
  </w:style>
  <w:style w:type="paragraph" w:styleId="27">
    <w:name w:val="toc 9"/>
    <w:basedOn w:val="1"/>
    <w:next w:val="1"/>
    <w:qFormat/>
    <w:locked/>
    <w:uiPriority w:val="0"/>
    <w:pPr>
      <w:ind w:left="1920"/>
      <w:jc w:val="left"/>
    </w:pPr>
    <w:rPr>
      <w:rFonts w:asciiTheme="minorHAnsi" w:hAnsiTheme="minorHAnsi" w:cstheme="minorHAnsi"/>
      <w:sz w:val="18"/>
      <w:szCs w:val="18"/>
    </w:rPr>
  </w:style>
  <w:style w:type="paragraph" w:styleId="28">
    <w:name w:val="Body Text 2"/>
    <w:basedOn w:val="1"/>
    <w:link w:val="52"/>
    <w:qFormat/>
    <w:uiPriority w:val="99"/>
    <w:pPr>
      <w:spacing w:after="120" w:line="480" w:lineRule="auto"/>
    </w:pPr>
    <w:rPr>
      <w:szCs w:val="24"/>
    </w:rPr>
  </w:style>
  <w:style w:type="paragraph" w:styleId="29">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0">
    <w:name w:val="Title"/>
    <w:basedOn w:val="1"/>
    <w:next w:val="1"/>
    <w:link w:val="64"/>
    <w:qFormat/>
    <w:locked/>
    <w:uiPriority w:val="0"/>
    <w:pPr>
      <w:spacing w:before="240" w:after="60"/>
      <w:jc w:val="center"/>
      <w:outlineLvl w:val="0"/>
    </w:pPr>
    <w:rPr>
      <w:rFonts w:asciiTheme="majorHAnsi" w:hAnsiTheme="majorHAnsi" w:cstheme="majorBidi"/>
      <w:b/>
      <w:bCs/>
      <w:sz w:val="32"/>
      <w:szCs w:val="32"/>
    </w:rPr>
  </w:style>
  <w:style w:type="character" w:styleId="32">
    <w:name w:val="Strong"/>
    <w:basedOn w:val="31"/>
    <w:qFormat/>
    <w:locked/>
    <w:uiPriority w:val="22"/>
    <w:rPr>
      <w:b/>
      <w:bCs/>
    </w:rPr>
  </w:style>
  <w:style w:type="character" w:styleId="33">
    <w:name w:val="page number"/>
    <w:qFormat/>
    <w:uiPriority w:val="99"/>
    <w:rPr>
      <w:rFonts w:cs="Times New Roman"/>
    </w:rPr>
  </w:style>
  <w:style w:type="character" w:styleId="34">
    <w:name w:val="FollowedHyperlink"/>
    <w:basedOn w:val="31"/>
    <w:unhideWhenUsed/>
    <w:qFormat/>
    <w:uiPriority w:val="99"/>
    <w:rPr>
      <w:color w:val="800080"/>
      <w:u w:val="single"/>
    </w:rPr>
  </w:style>
  <w:style w:type="character" w:styleId="35">
    <w:name w:val="Hyperlink"/>
    <w:qFormat/>
    <w:uiPriority w:val="99"/>
    <w:rPr>
      <w:rFonts w:cs="Times New Roman"/>
      <w:color w:val="0000FF"/>
      <w:u w:val="single"/>
    </w:rPr>
  </w:style>
  <w:style w:type="character" w:styleId="36">
    <w:name w:val="annotation reference"/>
    <w:basedOn w:val="31"/>
    <w:unhideWhenUsed/>
    <w:qFormat/>
    <w:uiPriority w:val="99"/>
    <w:rPr>
      <w:sz w:val="21"/>
      <w:szCs w:val="21"/>
    </w:rPr>
  </w:style>
  <w:style w:type="character" w:styleId="37">
    <w:name w:val="footnote reference"/>
    <w:qFormat/>
    <w:uiPriority w:val="99"/>
    <w:rPr>
      <w:rFonts w:cs="Times New Roman"/>
      <w:vertAlign w:val="superscript"/>
    </w:rPr>
  </w:style>
  <w:style w:type="table" w:styleId="39">
    <w:name w:val="Table Grid"/>
    <w:basedOn w:val="3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0">
    <w:name w:val="标题 1 Char"/>
    <w:link w:val="2"/>
    <w:qFormat/>
    <w:locked/>
    <w:uiPriority w:val="9"/>
    <w:rPr>
      <w:rFonts w:ascii="Times New Roman" w:hAnsi="Times New Roman" w:eastAsia="黑体"/>
      <w:b/>
      <w:bCs/>
      <w:kern w:val="44"/>
      <w:sz w:val="32"/>
      <w:szCs w:val="44"/>
    </w:rPr>
  </w:style>
  <w:style w:type="character" w:customStyle="1" w:styleId="41">
    <w:name w:val="标题 2 Char"/>
    <w:link w:val="3"/>
    <w:qFormat/>
    <w:locked/>
    <w:uiPriority w:val="9"/>
    <w:rPr>
      <w:rFonts w:eastAsia="楷体"/>
      <w:b/>
      <w:bCs/>
      <w:kern w:val="2"/>
      <w:sz w:val="32"/>
      <w:szCs w:val="32"/>
    </w:rPr>
  </w:style>
  <w:style w:type="character" w:customStyle="1" w:styleId="42">
    <w:name w:val="标题 3 Char"/>
    <w:link w:val="4"/>
    <w:qFormat/>
    <w:locked/>
    <w:uiPriority w:val="9"/>
    <w:rPr>
      <w:rFonts w:ascii="Times New Roman" w:hAnsi="Times New Roman" w:eastAsia="仿宋"/>
      <w:b/>
      <w:bCs/>
      <w:kern w:val="2"/>
      <w:sz w:val="30"/>
      <w:szCs w:val="32"/>
    </w:rPr>
  </w:style>
  <w:style w:type="character" w:customStyle="1" w:styleId="43">
    <w:name w:val="标题 4 Char"/>
    <w:link w:val="5"/>
    <w:semiHidden/>
    <w:qFormat/>
    <w:locked/>
    <w:uiPriority w:val="99"/>
    <w:rPr>
      <w:rFonts w:ascii="Cambria" w:hAnsi="Cambria" w:eastAsia="宋体" w:cs="Times New Roman"/>
      <w:b/>
      <w:bCs/>
      <w:sz w:val="28"/>
      <w:szCs w:val="28"/>
    </w:rPr>
  </w:style>
  <w:style w:type="paragraph" w:customStyle="1" w:styleId="44">
    <w:name w:val="列出段落1"/>
    <w:basedOn w:val="1"/>
    <w:qFormat/>
    <w:uiPriority w:val="99"/>
    <w:pPr>
      <w:ind w:firstLine="420"/>
    </w:pPr>
  </w:style>
  <w:style w:type="character" w:customStyle="1" w:styleId="45">
    <w:name w:val="页眉 Char"/>
    <w:link w:val="20"/>
    <w:qFormat/>
    <w:locked/>
    <w:uiPriority w:val="99"/>
    <w:rPr>
      <w:rFonts w:cs="Times New Roman"/>
      <w:sz w:val="18"/>
      <w:szCs w:val="18"/>
    </w:rPr>
  </w:style>
  <w:style w:type="character" w:customStyle="1" w:styleId="46">
    <w:name w:val="页脚 Char"/>
    <w:link w:val="19"/>
    <w:qFormat/>
    <w:locked/>
    <w:uiPriority w:val="99"/>
    <w:rPr>
      <w:rFonts w:cs="Times New Roman"/>
      <w:sz w:val="18"/>
      <w:szCs w:val="18"/>
    </w:rPr>
  </w:style>
  <w:style w:type="paragraph" w:customStyle="1" w:styleId="47">
    <w:name w:val="Char1"/>
    <w:basedOn w:val="1"/>
    <w:qFormat/>
    <w:uiPriority w:val="0"/>
    <w:pPr>
      <w:widowControl/>
      <w:adjustRightInd w:val="0"/>
      <w:spacing w:after="160" w:line="240" w:lineRule="exact"/>
      <w:jc w:val="left"/>
      <w:textAlignment w:val="baseline"/>
    </w:pPr>
    <w:rPr>
      <w:rFonts w:ascii="Verdana" w:hAnsi="Verdana"/>
      <w:kern w:val="0"/>
      <w:sz w:val="20"/>
      <w:szCs w:val="20"/>
      <w:lang w:eastAsia="en-US"/>
    </w:rPr>
  </w:style>
  <w:style w:type="paragraph" w:customStyle="1" w:styleId="48">
    <w:name w:val="Char Char Char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49">
    <w:name w:val="正文文本缩进 Char"/>
    <w:link w:val="12"/>
    <w:qFormat/>
    <w:locked/>
    <w:uiPriority w:val="99"/>
    <w:rPr>
      <w:rFonts w:ascii="仿宋_GB2312" w:hAnsi="Times New Roman" w:eastAsia="仿宋_GB2312" w:cs="Times New Roman"/>
      <w:sz w:val="20"/>
      <w:szCs w:val="20"/>
    </w:rPr>
  </w:style>
  <w:style w:type="character" w:customStyle="1" w:styleId="50">
    <w:name w:val="脚注文本 Char"/>
    <w:link w:val="24"/>
    <w:qFormat/>
    <w:locked/>
    <w:uiPriority w:val="99"/>
    <w:rPr>
      <w:rFonts w:ascii="Times New Roman" w:hAnsi="Times New Roman" w:eastAsia="宋体" w:cs="Times New Roman"/>
      <w:sz w:val="18"/>
      <w:szCs w:val="18"/>
    </w:rPr>
  </w:style>
  <w:style w:type="character" w:customStyle="1" w:styleId="51">
    <w:name w:val="正文文本 Char"/>
    <w:link w:val="11"/>
    <w:qFormat/>
    <w:locked/>
    <w:uiPriority w:val="99"/>
    <w:rPr>
      <w:rFonts w:ascii="Times New Roman" w:hAnsi="Times New Roman" w:eastAsia="宋体" w:cs="Times New Roman"/>
      <w:sz w:val="24"/>
      <w:szCs w:val="24"/>
    </w:rPr>
  </w:style>
  <w:style w:type="character" w:customStyle="1" w:styleId="52">
    <w:name w:val="正文文本 2 Char"/>
    <w:link w:val="28"/>
    <w:qFormat/>
    <w:locked/>
    <w:uiPriority w:val="99"/>
    <w:rPr>
      <w:rFonts w:ascii="Times New Roman" w:hAnsi="Times New Roman" w:eastAsia="宋体" w:cs="Times New Roman"/>
      <w:sz w:val="24"/>
      <w:szCs w:val="24"/>
    </w:rPr>
  </w:style>
  <w:style w:type="character" w:customStyle="1" w:styleId="53">
    <w:name w:val="批注框文本 Char"/>
    <w:link w:val="18"/>
    <w:qFormat/>
    <w:locked/>
    <w:uiPriority w:val="0"/>
    <w:rPr>
      <w:rFonts w:cs="Times New Roman"/>
      <w:sz w:val="18"/>
      <w:szCs w:val="18"/>
    </w:rPr>
  </w:style>
  <w:style w:type="character" w:customStyle="1" w:styleId="54">
    <w:name w:val="纯文本 Char"/>
    <w:link w:val="15"/>
    <w:qFormat/>
    <w:uiPriority w:val="0"/>
    <w:rPr>
      <w:rFonts w:ascii="宋体" w:hAnsi="Courier New" w:cs="Courier New"/>
      <w:szCs w:val="21"/>
    </w:rPr>
  </w:style>
  <w:style w:type="character" w:customStyle="1" w:styleId="55">
    <w:name w:val="纯文本 Char1"/>
    <w:semiHidden/>
    <w:qFormat/>
    <w:uiPriority w:val="99"/>
    <w:rPr>
      <w:rFonts w:ascii="宋体" w:hAnsi="Courier New" w:cs="Courier New"/>
      <w:szCs w:val="21"/>
    </w:rPr>
  </w:style>
  <w:style w:type="paragraph" w:customStyle="1" w:styleId="5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7">
    <w:name w:val="文档结构图 Char"/>
    <w:link w:val="10"/>
    <w:qFormat/>
    <w:locked/>
    <w:uiPriority w:val="99"/>
    <w:rPr>
      <w:rFonts w:ascii="宋体"/>
      <w:kern w:val="2"/>
      <w:sz w:val="18"/>
    </w:rPr>
  </w:style>
  <w:style w:type="paragraph" w:customStyle="1" w:styleId="58">
    <w:name w:val="Char Char Char Char"/>
    <w:basedOn w:val="1"/>
    <w:qFormat/>
    <w:uiPriority w:val="0"/>
    <w:pPr>
      <w:widowControl/>
      <w:spacing w:after="160" w:line="240" w:lineRule="exact"/>
      <w:ind w:firstLine="0" w:firstLineChars="0"/>
      <w:jc w:val="left"/>
    </w:pPr>
    <w:rPr>
      <w:rFonts w:ascii="Calibri" w:hAnsi="Calibri"/>
      <w:sz w:val="21"/>
    </w:rPr>
  </w:style>
  <w:style w:type="character" w:customStyle="1" w:styleId="59">
    <w:name w:val="文档结构图 Char1"/>
    <w:basedOn w:val="31"/>
    <w:semiHidden/>
    <w:qFormat/>
    <w:uiPriority w:val="99"/>
    <w:rPr>
      <w:rFonts w:ascii="宋体" w:hAnsi="Times New Roman"/>
      <w:kern w:val="2"/>
      <w:sz w:val="18"/>
      <w:szCs w:val="18"/>
    </w:rPr>
  </w:style>
  <w:style w:type="paragraph" w:customStyle="1" w:styleId="60">
    <w:name w:val="_Style 21"/>
    <w:basedOn w:val="2"/>
    <w:next w:val="1"/>
    <w:qFormat/>
    <w:uiPriority w:val="39"/>
    <w:pPr>
      <w:widowControl/>
      <w:spacing w:before="480" w:after="0" w:line="276" w:lineRule="auto"/>
      <w:jc w:val="left"/>
      <w:outlineLvl w:val="9"/>
    </w:pPr>
    <w:rPr>
      <w:rFonts w:ascii="Cambria" w:hAnsi="Cambria" w:eastAsia="宋体"/>
      <w:bCs w:val="0"/>
      <w:color w:val="365F91"/>
      <w:kern w:val="0"/>
      <w:sz w:val="28"/>
      <w:szCs w:val="28"/>
      <w:lang w:val="zh-CN"/>
    </w:rPr>
  </w:style>
  <w:style w:type="paragraph" w:customStyle="1" w:styleId="61">
    <w:name w:val="Char11"/>
    <w:basedOn w:val="1"/>
    <w:semiHidden/>
    <w:qFormat/>
    <w:uiPriority w:val="0"/>
    <w:pPr>
      <w:widowControl/>
      <w:spacing w:after="160" w:line="240" w:lineRule="exact"/>
      <w:ind w:firstLine="0" w:firstLineChars="0"/>
      <w:jc w:val="left"/>
    </w:pPr>
    <w:rPr>
      <w:rFonts w:ascii="Verdana" w:hAnsi="Verdana" w:cs="Verdana"/>
      <w:kern w:val="0"/>
      <w:sz w:val="20"/>
      <w:szCs w:val="20"/>
      <w:lang w:eastAsia="en-US"/>
    </w:rPr>
  </w:style>
  <w:style w:type="paragraph" w:customStyle="1" w:styleId="62">
    <w:name w:val="_Style 5"/>
    <w:basedOn w:val="1"/>
    <w:qFormat/>
    <w:uiPriority w:val="0"/>
    <w:pPr>
      <w:spacing w:line="240" w:lineRule="auto"/>
      <w:ind w:firstLine="0" w:firstLineChars="0"/>
    </w:pPr>
    <w:rPr>
      <w:rFonts w:ascii="方正小标宋简体" w:eastAsia="方正小标宋简体"/>
      <w:b/>
      <w:spacing w:val="12"/>
      <w:sz w:val="44"/>
      <w:szCs w:val="20"/>
    </w:rPr>
  </w:style>
  <w:style w:type="paragraph" w:customStyle="1" w:styleId="63">
    <w:name w:val="列出段落2"/>
    <w:basedOn w:val="1"/>
    <w:qFormat/>
    <w:uiPriority w:val="99"/>
    <w:pPr>
      <w:ind w:firstLine="420"/>
    </w:pPr>
  </w:style>
  <w:style w:type="character" w:customStyle="1" w:styleId="64">
    <w:name w:val="标题 Char"/>
    <w:basedOn w:val="31"/>
    <w:link w:val="30"/>
    <w:qFormat/>
    <w:uiPriority w:val="0"/>
    <w:rPr>
      <w:rFonts w:asciiTheme="majorHAnsi" w:hAnsiTheme="majorHAnsi" w:cstheme="majorBidi"/>
      <w:b/>
      <w:bCs/>
      <w:kern w:val="2"/>
      <w:sz w:val="32"/>
      <w:szCs w:val="32"/>
    </w:rPr>
  </w:style>
  <w:style w:type="paragraph" w:customStyle="1" w:styleId="65">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66">
    <w:name w:val="font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8"/>
    </w:rPr>
  </w:style>
  <w:style w:type="paragraph" w:customStyle="1" w:styleId="67">
    <w:name w:val="font7"/>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8"/>
    </w:rPr>
  </w:style>
  <w:style w:type="paragraph" w:customStyle="1" w:styleId="68">
    <w:name w:val="xl65"/>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69">
    <w:name w:val="xl66"/>
    <w:basedOn w:val="1"/>
    <w:qFormat/>
    <w:uiPriority w:val="0"/>
    <w:pPr>
      <w:widowControl/>
      <w:spacing w:before="100" w:beforeAutospacing="1" w:after="100" w:afterAutospacing="1" w:line="240" w:lineRule="auto"/>
      <w:ind w:firstLine="0" w:firstLineChars="0"/>
      <w:jc w:val="left"/>
    </w:pPr>
    <w:rPr>
      <w:rFonts w:ascii="黑体" w:hAnsi="黑体" w:eastAsia="黑体" w:cs="宋体"/>
      <w:kern w:val="0"/>
      <w:szCs w:val="24"/>
    </w:rPr>
  </w:style>
  <w:style w:type="paragraph" w:customStyle="1" w:styleId="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黑体" w:hAnsi="黑体" w:eastAsia="黑体" w:cs="宋体"/>
      <w:b/>
      <w:bCs/>
      <w:kern w:val="0"/>
      <w:szCs w:val="28"/>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黑体" w:hAnsi="黑体" w:eastAsia="黑体" w:cs="宋体"/>
      <w:b/>
      <w:bCs/>
      <w:kern w:val="0"/>
      <w:szCs w:val="28"/>
    </w:rPr>
  </w:style>
  <w:style w:type="paragraph" w:customStyle="1" w:styleId="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8"/>
    </w:rPr>
  </w:style>
  <w:style w:type="paragraph" w:customStyle="1" w:styleId="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黑体" w:hAnsi="黑体" w:eastAsia="黑体" w:cs="宋体"/>
      <w:b/>
      <w:bCs/>
      <w:kern w:val="0"/>
      <w:szCs w:val="28"/>
    </w:rPr>
  </w:style>
  <w:style w:type="paragraph" w:customStyle="1" w:styleId="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b/>
      <w:bCs/>
      <w:kern w:val="0"/>
      <w:szCs w:val="28"/>
    </w:rPr>
  </w:style>
  <w:style w:type="paragraph" w:customStyle="1" w:styleId="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8"/>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8"/>
    </w:rPr>
  </w:style>
  <w:style w:type="paragraph" w:customStyle="1" w:styleId="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Cs w:val="28"/>
    </w:rPr>
  </w:style>
  <w:style w:type="paragraph" w:customStyle="1" w:styleId="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Cs w:val="28"/>
    </w:rPr>
  </w:style>
  <w:style w:type="paragraph" w:customStyle="1" w:styleId="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8"/>
    </w:rPr>
  </w:style>
  <w:style w:type="character" w:customStyle="1" w:styleId="80">
    <w:name w:val="日期 Char"/>
    <w:basedOn w:val="31"/>
    <w:link w:val="17"/>
    <w:semiHidden/>
    <w:qFormat/>
    <w:uiPriority w:val="99"/>
    <w:rPr>
      <w:rFonts w:ascii="Times New Roman" w:hAnsi="Times New Roman"/>
      <w:kern w:val="2"/>
      <w:sz w:val="24"/>
      <w:szCs w:val="22"/>
    </w:rPr>
  </w:style>
  <w:style w:type="character" w:customStyle="1" w:styleId="81">
    <w:name w:val="标题 5 Char"/>
    <w:basedOn w:val="31"/>
    <w:link w:val="6"/>
    <w:qFormat/>
    <w:uiPriority w:val="0"/>
    <w:rPr>
      <w:rFonts w:ascii="Times New Roman" w:hAnsi="Times New Roman" w:eastAsia="仿宋"/>
      <w:b/>
      <w:bCs/>
      <w:kern w:val="2"/>
      <w:sz w:val="28"/>
      <w:szCs w:val="28"/>
    </w:rPr>
  </w:style>
  <w:style w:type="character" w:customStyle="1" w:styleId="82">
    <w:name w:val="不明显强调1"/>
    <w:basedOn w:val="31"/>
    <w:qFormat/>
    <w:uiPriority w:val="19"/>
    <w:rPr>
      <w:i/>
      <w:iCs/>
      <w:color w:val="7E7E7E" w:themeColor="text1" w:themeTint="80"/>
    </w:rPr>
  </w:style>
  <w:style w:type="character" w:customStyle="1" w:styleId="83">
    <w:name w:val="副标题 Char"/>
    <w:basedOn w:val="31"/>
    <w:link w:val="23"/>
    <w:qFormat/>
    <w:uiPriority w:val="0"/>
    <w:rPr>
      <w:rFonts w:ascii="Times New Roman" w:hAnsi="Times New Roman" w:eastAsia="黑体" w:cstheme="majorBidi"/>
      <w:bCs/>
      <w:kern w:val="28"/>
      <w:sz w:val="24"/>
      <w:szCs w:val="32"/>
    </w:rPr>
  </w:style>
  <w:style w:type="character" w:customStyle="1" w:styleId="84">
    <w:name w:val="批注文字 Char"/>
    <w:basedOn w:val="31"/>
    <w:link w:val="8"/>
    <w:semiHidden/>
    <w:qFormat/>
    <w:uiPriority w:val="99"/>
    <w:rPr>
      <w:rFonts w:ascii="Times New Roman" w:hAnsi="Times New Roman" w:eastAsia="仿宋"/>
      <w:kern w:val="2"/>
      <w:sz w:val="28"/>
      <w:szCs w:val="22"/>
    </w:rPr>
  </w:style>
  <w:style w:type="character" w:customStyle="1" w:styleId="85">
    <w:name w:val="批注主题 Char"/>
    <w:basedOn w:val="84"/>
    <w:link w:val="7"/>
    <w:semiHidden/>
    <w:qFormat/>
    <w:uiPriority w:val="99"/>
    <w:rPr>
      <w:rFonts w:ascii="Times New Roman" w:hAnsi="Times New Roman" w:eastAsia="仿宋"/>
      <w:b/>
      <w:bCs/>
      <w:kern w:val="2"/>
      <w:sz w:val="28"/>
      <w:szCs w:val="22"/>
    </w:rPr>
  </w:style>
  <w:style w:type="paragraph" w:customStyle="1" w:styleId="86">
    <w:name w:val="列出段落3"/>
    <w:basedOn w:val="1"/>
    <w:qFormat/>
    <w:uiPriority w:val="99"/>
    <w:pPr>
      <w:ind w:firstLine="420"/>
    </w:pPr>
  </w:style>
  <w:style w:type="character" w:customStyle="1" w:styleId="87">
    <w:name w:val="不明显强调2"/>
    <w:basedOn w:val="31"/>
    <w:qFormat/>
    <w:uiPriority w:val="19"/>
    <w:rPr>
      <w:i/>
      <w:iCs/>
      <w:color w:val="7E7E7E" w:themeColor="text1" w:themeTint="80"/>
    </w:rPr>
  </w:style>
  <w:style w:type="paragraph" w:customStyle="1" w:styleId="88">
    <w:name w:val="font8"/>
    <w:basedOn w:val="1"/>
    <w:qFormat/>
    <w:uiPriority w:val="0"/>
    <w:pPr>
      <w:widowControl/>
      <w:spacing w:before="100" w:beforeAutospacing="1" w:after="100" w:afterAutospacing="1" w:line="240" w:lineRule="auto"/>
      <w:ind w:firstLine="0" w:firstLineChars="0"/>
      <w:jc w:val="left"/>
    </w:pPr>
    <w:rPr>
      <w:rFonts w:ascii="仿宋" w:hAnsi="仿宋" w:cs="宋体"/>
      <w:color w:val="000000"/>
      <w:kern w:val="0"/>
      <w:sz w:val="21"/>
      <w:szCs w:val="21"/>
    </w:rPr>
  </w:style>
  <w:style w:type="paragraph" w:customStyle="1" w:styleId="89">
    <w:name w:val="font9"/>
    <w:basedOn w:val="1"/>
    <w:qFormat/>
    <w:uiPriority w:val="0"/>
    <w:pPr>
      <w:widowControl/>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90">
    <w:name w:val="font10"/>
    <w:basedOn w:val="1"/>
    <w:qFormat/>
    <w:uiPriority w:val="0"/>
    <w:pPr>
      <w:widowControl/>
      <w:spacing w:before="100" w:beforeAutospacing="1" w:after="100" w:afterAutospacing="1" w:line="240" w:lineRule="auto"/>
      <w:ind w:firstLine="0" w:firstLineChars="0"/>
      <w:jc w:val="left"/>
    </w:pPr>
    <w:rPr>
      <w:rFonts w:ascii="Batang" w:hAnsi="Batang" w:eastAsia="Batang" w:cs="宋体"/>
      <w:color w:val="000000"/>
      <w:kern w:val="0"/>
      <w:sz w:val="21"/>
      <w:szCs w:val="21"/>
    </w:rPr>
  </w:style>
  <w:style w:type="paragraph" w:customStyle="1" w:styleId="91">
    <w:name w:val="font11"/>
    <w:basedOn w:val="1"/>
    <w:qFormat/>
    <w:uiPriority w:val="0"/>
    <w:pPr>
      <w:widowControl/>
      <w:spacing w:before="100" w:beforeAutospacing="1" w:after="100" w:afterAutospacing="1" w:line="240" w:lineRule="auto"/>
      <w:ind w:firstLine="0" w:firstLineChars="0"/>
      <w:jc w:val="left"/>
    </w:pPr>
    <w:rPr>
      <w:rFonts w:ascii="Calibri" w:hAnsi="Calibri" w:eastAsia="宋体" w:cs="Calibri"/>
      <w:color w:val="000000"/>
      <w:kern w:val="0"/>
      <w:sz w:val="21"/>
      <w:szCs w:val="21"/>
    </w:rPr>
  </w:style>
  <w:style w:type="paragraph" w:customStyle="1" w:styleId="92">
    <w:name w:val="font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93">
    <w:name w:val="font13"/>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2"/>
    </w:rPr>
  </w:style>
  <w:style w:type="paragraph" w:customStyle="1" w:styleId="94">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 w:hAnsi="仿宋" w:cs="宋体"/>
      <w:b/>
      <w:bCs/>
      <w:color w:val="000000"/>
      <w:kern w:val="0"/>
      <w:sz w:val="21"/>
      <w:szCs w:val="21"/>
    </w:rPr>
  </w:style>
  <w:style w:type="paragraph" w:customStyle="1" w:styleId="95">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 w:hAnsi="仿宋" w:cs="宋体"/>
      <w:b/>
      <w:bCs/>
      <w:color w:val="000000"/>
      <w:kern w:val="0"/>
      <w:sz w:val="21"/>
      <w:szCs w:val="21"/>
    </w:rPr>
  </w:style>
  <w:style w:type="paragraph" w:customStyle="1" w:styleId="96">
    <w:name w:val="xl77"/>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firstLineChars="0"/>
      <w:textAlignment w:val="center"/>
    </w:pPr>
    <w:rPr>
      <w:rFonts w:ascii="仿宋" w:hAnsi="仿宋" w:cs="宋体"/>
      <w:b/>
      <w:bCs/>
      <w:color w:val="000000"/>
      <w:kern w:val="0"/>
      <w:sz w:val="21"/>
      <w:szCs w:val="21"/>
    </w:rPr>
  </w:style>
  <w:style w:type="paragraph" w:customStyle="1" w:styleId="97">
    <w:name w:val="xl7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textAlignment w:val="center"/>
    </w:pPr>
    <w:rPr>
      <w:rFonts w:ascii="仿宋" w:hAnsi="仿宋" w:cs="宋体"/>
      <w:b/>
      <w:bCs/>
      <w:color w:val="000000"/>
      <w:kern w:val="0"/>
      <w:sz w:val="21"/>
      <w:szCs w:val="21"/>
    </w:rPr>
  </w:style>
  <w:style w:type="paragraph" w:customStyle="1" w:styleId="98">
    <w:name w:val="xl7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eastAsia="宋体"/>
      <w:b/>
      <w:bCs/>
      <w:color w:val="000000"/>
      <w:kern w:val="0"/>
      <w:sz w:val="21"/>
      <w:szCs w:val="21"/>
    </w:rPr>
  </w:style>
  <w:style w:type="paragraph" w:customStyle="1" w:styleId="99">
    <w:name w:val="xl80"/>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00">
    <w:name w:val="font14"/>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character" w:customStyle="1" w:styleId="101">
    <w:name w:val="font71"/>
    <w:basedOn w:val="31"/>
    <w:qFormat/>
    <w:uiPriority w:val="0"/>
    <w:rPr>
      <w:rFonts w:hint="eastAsia" w:ascii="仿宋" w:hAnsi="仿宋" w:eastAsia="仿宋" w:cs="仿宋"/>
      <w:b/>
      <w:color w:val="000000"/>
      <w:sz w:val="21"/>
      <w:szCs w:val="21"/>
      <w:u w:val="none"/>
    </w:rPr>
  </w:style>
  <w:style w:type="character" w:customStyle="1" w:styleId="102">
    <w:name w:val="font21"/>
    <w:basedOn w:val="31"/>
    <w:qFormat/>
    <w:uiPriority w:val="0"/>
    <w:rPr>
      <w:rFonts w:hint="default" w:ascii="Times New Roman" w:hAnsi="Times New Roman" w:cs="Times New Roman"/>
      <w:b/>
      <w:color w:val="000000"/>
      <w:sz w:val="21"/>
      <w:szCs w:val="21"/>
      <w:u w:val="none"/>
    </w:rPr>
  </w:style>
  <w:style w:type="character" w:customStyle="1" w:styleId="103">
    <w:name w:val="font31"/>
    <w:basedOn w:val="31"/>
    <w:qFormat/>
    <w:uiPriority w:val="0"/>
    <w:rPr>
      <w:rFonts w:hint="eastAsia" w:ascii="仿宋" w:hAnsi="仿宋" w:eastAsia="仿宋" w:cs="仿宋"/>
      <w:color w:val="000000"/>
      <w:sz w:val="21"/>
      <w:szCs w:val="21"/>
      <w:u w:val="none"/>
    </w:rPr>
  </w:style>
  <w:style w:type="character" w:customStyle="1" w:styleId="104">
    <w:name w:val="font81"/>
    <w:basedOn w:val="31"/>
    <w:qFormat/>
    <w:uiPriority w:val="0"/>
    <w:rPr>
      <w:rFonts w:hint="default" w:ascii="Times New Roman" w:hAnsi="Times New Roman" w:cs="Times New Roman"/>
      <w:color w:val="000000"/>
      <w:sz w:val="21"/>
      <w:szCs w:val="21"/>
      <w:u w:val="none"/>
    </w:rPr>
  </w:style>
  <w:style w:type="character" w:customStyle="1" w:styleId="105">
    <w:name w:val="font91"/>
    <w:basedOn w:val="31"/>
    <w:qFormat/>
    <w:uiPriority w:val="0"/>
    <w:rPr>
      <w:rFonts w:hint="default" w:ascii="Times New Roman" w:hAnsi="Times New Roman" w:cs="Times New Roman"/>
      <w:color w:val="000000"/>
      <w:sz w:val="21"/>
      <w:szCs w:val="21"/>
      <w:u w:val="none"/>
      <w:vertAlign w:val="superscript"/>
    </w:rPr>
  </w:style>
  <w:style w:type="character" w:customStyle="1" w:styleId="106">
    <w:name w:val="font101"/>
    <w:basedOn w:val="31"/>
    <w:qFormat/>
    <w:uiPriority w:val="0"/>
    <w:rPr>
      <w:rFonts w:hint="eastAsia" w:ascii="宋体" w:hAnsi="宋体" w:eastAsia="宋体" w:cs="宋体"/>
      <w:color w:val="000000"/>
      <w:sz w:val="22"/>
      <w:szCs w:val="22"/>
      <w:u w:val="none"/>
    </w:rPr>
  </w:style>
  <w:style w:type="character" w:customStyle="1" w:styleId="107">
    <w:name w:val="font41"/>
    <w:basedOn w:val="31"/>
    <w:qFormat/>
    <w:uiPriority w:val="0"/>
    <w:rPr>
      <w:rFonts w:ascii="Batang" w:hAnsi="Batang" w:eastAsia="Batang" w:cs="Batang"/>
      <w:color w:val="000000"/>
      <w:sz w:val="21"/>
      <w:szCs w:val="21"/>
      <w:u w:val="none"/>
    </w:rPr>
  </w:style>
  <w:style w:type="character" w:customStyle="1" w:styleId="108">
    <w:name w:val="font51"/>
    <w:basedOn w:val="31"/>
    <w:qFormat/>
    <w:uiPriority w:val="0"/>
    <w:rPr>
      <w:rFonts w:hint="default" w:ascii="Calibri" w:hAnsi="Calibri" w:cs="Calibri"/>
      <w:color w:val="000000"/>
      <w:sz w:val="21"/>
      <w:szCs w:val="21"/>
      <w:u w:val="none"/>
    </w:rPr>
  </w:style>
  <w:style w:type="character" w:customStyle="1" w:styleId="109">
    <w:name w:val="font0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7F5F2-FF21-44FA-B3F6-523B02D8D2D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95</Pages>
  <Words>6870</Words>
  <Characters>39162</Characters>
  <Lines>326</Lines>
  <Paragraphs>91</Paragraphs>
  <ScaleCrop>false</ScaleCrop>
  <LinksUpToDate>false</LinksUpToDate>
  <CharactersWithSpaces>45941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2016-12-13T01:56:00Z</dcterms:created>
  <dc:creator>lc刘聪</dc:creator>
  <cp:lastModifiedBy>LI</cp:lastModifiedBy>
  <cp:lastPrinted>2016-12-22T01:49:00Z</cp:lastPrinted>
  <dcterms:modified xsi:type="dcterms:W3CDTF">2023-01-13T08:11:41Z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