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附件4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保障涉客船舶航行安全“百日行动”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总结模板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一、涉客船舶基本情况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（一）基本情况。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本辖区管理涉客运输航运公司（船东）XX家，登记船舶XX艘，当前正常营运XX艘，平均船龄XX年（船龄24年以上XX艘，达到报废年限未注销登记XX艘；客位30－100人船舶X艘，客位100人以上船舶X艘），近3年（2020－2021年）年均载客XX人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（二）主要特征。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XX辖区水上出行需求最高，年均载运乘客XX人；XX辖区涉客船舶最多；XX辖区涉客船舶平均船龄最高；XX、XX水域涉客船舶碰撞事故风险较高。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（三）事故险情情况。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（X）......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二、涉客船舶安全监管情况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（一）风险分析情况。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（二）监管措施制定情况。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......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（X）主要监管数据。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“百日行动”期间，开展航运公司（船东）检查XX次，发现并督促整改安全管理制度问题XX个，立案调查XX件；开展船舶监督行政检查XX次，立案调查XX件，处罚金XX元，发现并纠正缺陷XX个，滞留船舶XX艘；开展船员管理行政检查XX次，行政处罚XX个；开展通航管理行政检查XX次，发现并纠正违法行为XX个，立案调查XX件，采取管理措施XX个。办理涉客船舶相关许可、确认等X项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三、交通服务和涉客船舶动态监控情况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（一）进出港交通安全保障服务措施制定情况。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（二）交通服务保障工作情况。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......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四、督查检查情况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（一）督查总体情况。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（二）发现问题及处理情况。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......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五、经验做法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......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AE4F4C"/>
    <w:rsid w:val="5F67D4E2"/>
    <w:rsid w:val="6FAE4F4C"/>
    <w:rsid w:val="CAFDB395"/>
    <w:rsid w:val="D653ADAF"/>
    <w:rsid w:val="FECB95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2022-08-30T16:12:00Z</dcterms:created>
  <dc:creator>kylin</dc:creator>
  <cp:lastModifiedBy>gl_byj_07</cp:lastModifiedBy>
  <dcterms:modified xsi:type="dcterms:W3CDTF">2022-09-16T09:11:00Z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