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1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>保障涉客船舶航行安全“百日行动”基础清单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 w:bidi="ar"/>
        </w:rPr>
        <w:t>单位：（盖章）                                                          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87"/>
        <w:gridCol w:w="1188"/>
        <w:gridCol w:w="975"/>
        <w:gridCol w:w="937"/>
        <w:gridCol w:w="463"/>
        <w:gridCol w:w="1537"/>
        <w:gridCol w:w="1688"/>
        <w:gridCol w:w="1575"/>
        <w:gridCol w:w="2687"/>
        <w:gridCol w:w="2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船 名（MMSI）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船型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客/车位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船龄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北斗终端配备情况（厂家、型号）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航运公司名称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及联系人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习惯航路及班次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船籍港监管部门联系人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靠泊港监管部门联系人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例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中华XX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412283xxx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滚装客船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1600/170</w:t>
            </w:r>
          </w:p>
        </w:tc>
        <w:tc>
          <w:tcPr>
            <w:tcW w:w="46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XX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 xml:space="preserve"> 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某省某市XXX公司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张某，139XXXXXXXX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班次：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航路：（起始位置，及主要转向点坐标）</w:t>
            </w:r>
          </w:p>
        </w:tc>
        <w:tc>
          <w:tcPr>
            <w:tcW w:w="26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现场监管：XXX，139XXXXXXXX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公司监管：XXX，139XXXXXXXX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交管中心：XXX，139XXXXXXXX</w:t>
            </w: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现场监管：XXX，139XXXXXXXX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公司监管：XXX，139XXXXXXXX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交管中心：XXX，139XXXXXXXX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6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6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6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4" w:type="dxa"/>
            <w:gridSpan w:val="10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注：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1.封闭城市园林水域内旅游船艇无需逐艘列明，可按类型上报并备注数量。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2.涉客船舶含交通艇、正规旅游排筏。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"/>
              </w:rPr>
              <w:t>3.船型以船舶登记类型为准，船龄指船舶自建造完工之日起至今的年限。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15" w:lineRule="atLeast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ascii="Arial" w:hAnsi="Arial" w:cs="Arial"/>
          <w:i w:val="0"/>
          <w:caps w:val="0"/>
          <w:color w:val="000000"/>
          <w:spacing w:val="0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8249"/>
    <w:rsid w:val="2FDFCA08"/>
    <w:rsid w:val="BFE230BE"/>
    <w:rsid w:val="DFFD8249"/>
    <w:rsid w:val="F6FF96D7"/>
    <w:rsid w:val="FBCF8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19.6666666666667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2022-08-30T07:09:00Z</dcterms:created>
  <dc:creator>kylin</dc:creator>
  <cp:lastModifiedBy>gl_byj_07</cp:lastModifiedBy>
  <dcterms:modified xsi:type="dcterms:W3CDTF">2022-09-16T09:10:13Z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